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451" w:rsidRDefault="00B20451" w:rsidP="00B20451">
      <w:r>
        <w:t>Chase Hanes</w:t>
      </w:r>
    </w:p>
    <w:p w:rsidR="00B20451" w:rsidRDefault="00B20451" w:rsidP="00B20451">
      <w:r>
        <w:t>Agency Assessment</w:t>
      </w:r>
    </w:p>
    <w:p w:rsidR="00B20451" w:rsidRDefault="00B20451" w:rsidP="00B20451">
      <w:r>
        <w:t>WGS 602</w:t>
      </w:r>
    </w:p>
    <w:p w:rsidR="00B20451" w:rsidRDefault="00B20451" w:rsidP="00B20451">
      <w:r>
        <w:t>18 February 2018</w:t>
      </w:r>
    </w:p>
    <w:p w:rsidR="00B20451" w:rsidRDefault="00B20451" w:rsidP="00B20451"/>
    <w:p w:rsidR="00B20451" w:rsidRDefault="00B20451" w:rsidP="00B20451">
      <w:pPr>
        <w:jc w:val="center"/>
      </w:pPr>
      <w:r>
        <w:t>Higher Ground Agency Assessment</w:t>
      </w:r>
    </w:p>
    <w:p w:rsidR="00B20451" w:rsidRDefault="00B20451" w:rsidP="00B20451">
      <w:pPr>
        <w:jc w:val="center"/>
      </w:pPr>
    </w:p>
    <w:p w:rsidR="00B20451" w:rsidRPr="00FB3F71" w:rsidRDefault="00B20451" w:rsidP="00B20451">
      <w:pPr>
        <w:jc w:val="center"/>
        <w:rPr>
          <w:rFonts w:ascii="Gabriola" w:hAnsi="Gabriola"/>
        </w:rPr>
      </w:pPr>
      <w:r w:rsidRPr="00FB3F71">
        <w:rPr>
          <w:rFonts w:ascii="Gabriola" w:hAnsi="Gabriola"/>
        </w:rPr>
        <w:t>Psalm 61</w:t>
      </w:r>
      <w:r w:rsidRPr="00FB3F71">
        <w:rPr>
          <w:rFonts w:ascii="Gabriola" w:hAnsi="Gabriola"/>
        </w:rPr>
        <w:t>:2 New King James Version</w:t>
      </w:r>
    </w:p>
    <w:p w:rsidR="00B20451" w:rsidRPr="0089755A" w:rsidRDefault="00B20451" w:rsidP="00B20451">
      <w:pPr>
        <w:jc w:val="center"/>
        <w:rPr>
          <w:rFonts w:ascii="Gabriola" w:hAnsi="Gabriola"/>
          <w:i/>
        </w:rPr>
      </w:pPr>
      <w:r w:rsidRPr="00FB3F71">
        <w:rPr>
          <w:rFonts w:ascii="Gabriola" w:hAnsi="Gabriola"/>
          <w:i/>
        </w:rPr>
        <w:t xml:space="preserve">2 </w:t>
      </w:r>
      <w:r w:rsidRPr="0089755A">
        <w:rPr>
          <w:rFonts w:ascii="Gabriola" w:hAnsi="Gabriola"/>
          <w:i/>
        </w:rPr>
        <w:t xml:space="preserve">From the end </w:t>
      </w:r>
      <w:r w:rsidRPr="0089755A">
        <w:rPr>
          <w:rFonts w:ascii="Gabriola" w:hAnsi="Gabriola"/>
          <w:i/>
        </w:rPr>
        <w:t xml:space="preserve">of the earth I will cry to </w:t>
      </w:r>
      <w:proofErr w:type="gramStart"/>
      <w:r w:rsidRPr="0089755A">
        <w:rPr>
          <w:rFonts w:ascii="Gabriola" w:hAnsi="Gabriola"/>
          <w:i/>
        </w:rPr>
        <w:t>You</w:t>
      </w:r>
      <w:proofErr w:type="gramEnd"/>
      <w:r w:rsidRPr="0089755A">
        <w:rPr>
          <w:rFonts w:ascii="Gabriola" w:hAnsi="Gabriola"/>
          <w:i/>
        </w:rPr>
        <w:t>, w</w:t>
      </w:r>
      <w:r w:rsidRPr="0089755A">
        <w:rPr>
          <w:rFonts w:ascii="Gabriola" w:hAnsi="Gabriola"/>
          <w:i/>
        </w:rPr>
        <w:t>hen my heart is overwhelmed;</w:t>
      </w:r>
    </w:p>
    <w:p w:rsidR="00B20451" w:rsidRPr="0089755A" w:rsidRDefault="00B20451" w:rsidP="00B20451">
      <w:pPr>
        <w:jc w:val="center"/>
        <w:rPr>
          <w:rFonts w:ascii="Gabriola" w:hAnsi="Gabriola"/>
          <w:i/>
        </w:rPr>
      </w:pPr>
      <w:r w:rsidRPr="0089755A">
        <w:rPr>
          <w:rFonts w:ascii="Gabriola" w:hAnsi="Gabriola"/>
          <w:i/>
        </w:rPr>
        <w:t>Lead me to the rock that is higher than I.</w:t>
      </w:r>
    </w:p>
    <w:p w:rsidR="0089755A" w:rsidRPr="0089755A" w:rsidRDefault="0089755A" w:rsidP="00B20451">
      <w:pPr>
        <w:jc w:val="center"/>
        <w:rPr>
          <w:rFonts w:ascii="Gabriola" w:hAnsi="Gabriola"/>
        </w:rPr>
      </w:pPr>
      <w:r>
        <w:rPr>
          <w:rFonts w:ascii="Gabriola" w:hAnsi="Gabriola"/>
        </w:rPr>
        <w:t>***</w:t>
      </w:r>
    </w:p>
    <w:p w:rsidR="00B20451" w:rsidRDefault="00B20451"/>
    <w:p w:rsidR="002F6AD0" w:rsidRDefault="00B92264" w:rsidP="00E54160">
      <w:pPr>
        <w:spacing w:line="360" w:lineRule="auto"/>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38100</wp:posOffset>
            </wp:positionV>
            <wp:extent cx="2095500" cy="1508760"/>
            <wp:effectExtent l="0" t="0" r="0" b="0"/>
            <wp:wrapTight wrapText="bothSides">
              <wp:wrapPolygon edited="0">
                <wp:start x="0" y="0"/>
                <wp:lineTo x="0" y="21273"/>
                <wp:lineTo x="21404" y="21273"/>
                <wp:lineTo x="21404" y="0"/>
                <wp:lineTo x="0" y="0"/>
              </wp:wrapPolygon>
            </wp:wrapTight>
            <wp:docPr id="2" name="Picture 2" descr="http://www.triadhealthproject.com/wp-content/uploads/2015/01/logo-higher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iadhealthproject.com/wp-content/uploads/2015/01/logo-highergroun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1508760"/>
                    </a:xfrm>
                    <a:prstGeom prst="rect">
                      <a:avLst/>
                    </a:prstGeom>
                    <a:noFill/>
                    <a:ln>
                      <a:noFill/>
                    </a:ln>
                  </pic:spPr>
                </pic:pic>
              </a:graphicData>
            </a:graphic>
            <wp14:sizeRelH relativeFrom="page">
              <wp14:pctWidth>0</wp14:pctWidth>
            </wp14:sizeRelH>
            <wp14:sizeRelV relativeFrom="page">
              <wp14:pctHeight>0</wp14:pctHeight>
            </wp14:sizeRelV>
          </wp:anchor>
        </w:drawing>
      </w:r>
      <w:r w:rsidR="00FB3F71">
        <w:t>Whenever I talk about Higher Ground, I am not quite sure if I am talking about a house, a group of people, a retreat center,</w:t>
      </w:r>
      <w:r w:rsidR="0089755A">
        <w:t xml:space="preserve"> an extension of THP (Triad Health Project),</w:t>
      </w:r>
      <w:r w:rsidR="00FB3F71">
        <w:t xml:space="preserve"> or a family. Most likely,</w:t>
      </w:r>
      <w:r w:rsidR="0089755A">
        <w:t xml:space="preserve"> I am speaking about an amalgamation of all of these, never abandoning my sense of astonishment that something like Higher Ground even exists at all. Before someone visits Higher Ground, they might find it </w:t>
      </w:r>
      <w:r>
        <w:t>beneficial to conceive of it as a communal day-center for individuals impacted in various ways by HIV/AIDS. Located in a house on Bessemer Street, Higher Ground offers a space where people can escape the social stigmas surrounding HIV/AIDS and share personal stories during diverse therapy groups and daily moments of communal fellowship.</w:t>
      </w:r>
      <w:r w:rsidR="006820BE">
        <w:t xml:space="preserve"> Nearly every day, the director of Higher Ground, Mark </w:t>
      </w:r>
      <w:proofErr w:type="spellStart"/>
      <w:r w:rsidR="006820BE">
        <w:t>Cassity</w:t>
      </w:r>
      <w:proofErr w:type="spellEnd"/>
      <w:r w:rsidR="006820BE">
        <w:t>, says to the clients, THP staff, volunteers, and visitors, “Welcome Home.” Regardless of whether or not Higher Ground is being conceived of as a place, a community of people, a therapy center, or an off-shoot of THP, it is something that aims to offer hope, family, and home to people who are impacted by the intense marginalization and stigma accompanying HIV/AIDS and all of the intersecting social issues (like poverty and addiction) that commonly influence one’s HIV status.</w:t>
      </w:r>
    </w:p>
    <w:p w:rsidR="005604CD" w:rsidRDefault="002F6AD0" w:rsidP="00E54160">
      <w:pPr>
        <w:spacing w:line="360" w:lineRule="auto"/>
      </w:pPr>
      <w:r>
        <w:tab/>
        <w:t>Crucial to Higher Ground are the therapies and meals provided to anyone present at the house. Traditional and alternative therapies occur throughout the week. Some of the therapies are arts-based, while others are grounded in counseling paradigms. There are also scheduled support groups, but the nurturance generated in these groups typically extends outward into the general interactions that happen daily; sitting on a couch or passing someone in the hall can become a support group of sorts.</w:t>
      </w:r>
      <w:r w:rsidR="00FA7A9F">
        <w:t xml:space="preserve"> Local churches provide a warm lunch three times a week, but there is </w:t>
      </w:r>
      <w:r w:rsidR="00FA7A9F">
        <w:lastRenderedPageBreak/>
        <w:t>always food available in the house for anyone in need. The act of eating together as a community, as a family</w:t>
      </w:r>
      <w:r w:rsidR="005604CD">
        <w:t xml:space="preserve"> is conducive to the healing process. As the identities of clients/THP staff/and Higher Ground volunteers are blurred during meals and therapies, the idea that HIV status has any merit in separating people becomes arbitrary. The therapies and meals communicate that no one is inferior because of their HIV+ status, which is a radical step in dismantling HIV/AIDS stigma.</w:t>
      </w:r>
    </w:p>
    <w:p w:rsidR="001B6375" w:rsidRDefault="001B6375" w:rsidP="00E54160">
      <w:pPr>
        <w:spacing w:line="360" w:lineRule="auto"/>
      </w:pPr>
      <w:r>
        <w:tab/>
      </w:r>
      <w:r w:rsidR="005604CD">
        <w:t>Higher Ground</w:t>
      </w:r>
      <w:r>
        <w:t xml:space="preserve"> maintains an inter-faith approach to healing.</w:t>
      </w:r>
      <w:r w:rsidR="005604CD">
        <w:t xml:space="preserve"> </w:t>
      </w:r>
      <w:r>
        <w:t xml:space="preserve">Because it </w:t>
      </w:r>
      <w:r w:rsidR="005604CD">
        <w:t xml:space="preserve">emerged out of a </w:t>
      </w:r>
      <w:r>
        <w:t>project in the 1990s in which local churches aimed to help individuals impacted by the HIV/AIDS crisis, Higher Ground commits to nondenominational teachings. Individuals ascribing to different faiths—or no faith traditions at all—can participate in the various programs that the house offers. Christian teachings are communicated most often, but any and all religions are considered viable if they promote hope, family, and health of those whose hearts are invested in Higher Ground.</w:t>
      </w:r>
    </w:p>
    <w:p w:rsidR="001C5B23" w:rsidRDefault="001C5B23" w:rsidP="00E54160">
      <w:pPr>
        <w:spacing w:line="360" w:lineRule="auto"/>
      </w:pPr>
      <w:r>
        <w:tab/>
        <w:t>Individuals come to Higher Ground in multiple ways. Sometimes folks find themselves at the door step with a friend who recommended that they come. If a person is in the hospital and receives a diagnosis of HIV (or AIDS), then their medical providers may refer them to services at THP and Higher Ground. Other times, individuals may seek out care at THP (such as their food pantry, free HIV testing, or financial assistance programs) and be suggested to seek out Higher Ground. My supervisor, Mark, explains that the gate to care is intentionally left as open as possible. Sometimes a person arriving at Higher Ground may be referred to the hospital and then to THP, or a person in the hospital may seek out THP services and then explore Higher Ground later. Regardless,</w:t>
      </w:r>
      <w:r w:rsidR="00572443">
        <w:t xml:space="preserve"> the connections between Higher Ground, THP, and Guilford County medical services ensure that individuals receive the level of care needed. </w:t>
      </w:r>
      <w:r>
        <w:t xml:space="preserve"> </w:t>
      </w:r>
    </w:p>
    <w:p w:rsidR="002F6AD0" w:rsidRPr="001B6375" w:rsidRDefault="001B6375" w:rsidP="00E54160">
      <w:pPr>
        <w:spacing w:line="360" w:lineRule="auto"/>
        <w:rPr>
          <w:u w:val="single"/>
        </w:rPr>
      </w:pPr>
      <w:r>
        <w:tab/>
        <w:t>When asking Mark</w:t>
      </w:r>
      <w:r w:rsidR="00572443">
        <w:t xml:space="preserve"> </w:t>
      </w:r>
      <w:r>
        <w:t>about some of the questions required for this agency assessment, we joined in laughter over his inability to give concise, concrete answers. Higher Ground typically does not offer direct, easy answers</w:t>
      </w:r>
      <w:r w:rsidR="00572443">
        <w:t xml:space="preserve"> to anyone, anyway</w:t>
      </w:r>
      <w:r>
        <w:t xml:space="preserve">. Even a clear start date </w:t>
      </w:r>
      <w:r w:rsidR="001C5B23">
        <w:t>of Higher Ground is hard to come by</w:t>
      </w:r>
      <w:r w:rsidR="00572443">
        <w:t xml:space="preserve">. Exact numbers of people served, exact start dates, and exact demographics of the number of guests catalogued seems to miss the </w:t>
      </w:r>
      <w:r w:rsidR="00790881">
        <w:t>nuanced</w:t>
      </w:r>
      <w:r w:rsidR="00572443">
        <w:t xml:space="preserve"> ways people tend to heal and spre</w:t>
      </w:r>
      <w:r w:rsidR="00790881">
        <w:t xml:space="preserve">ad healing outside of the house. At the end of every day, Mark catalogues an estimate of the number of people present at Higher Ground, whether that be for meals or for various therapies. These numbers compile into a monthly report that he sends to THP’s development director. The </w:t>
      </w:r>
      <w:r w:rsidR="00790881">
        <w:lastRenderedPageBreak/>
        <w:t>number of people he has helped during all of his years at Higher Ground is largely unquantifiable. From clients served, to volunteers, to interns, to therapy leaders, to visitors from local churches serving a meal, the means by which healing has pervaded all kinds of different people cannot be attached to a number. “You’re likely to fall in love, and maybe get your heart broken,” Mark told me about Higher Ground the first time I met him</w:t>
      </w:r>
      <w:r w:rsidR="00F72E2F">
        <w:t>. Thus, it does not surprise me that when asked about how many people Higher Ground has helped in all of his years working there, he could only answer “hundreds of hundreds of people.”</w:t>
      </w:r>
      <w:r w:rsidR="00790881">
        <w:t xml:space="preserve">  </w:t>
      </w:r>
      <w:r w:rsidRPr="001B6375">
        <w:rPr>
          <w:u w:val="single"/>
        </w:rPr>
        <w:t xml:space="preserve"> </w:t>
      </w:r>
      <w:r w:rsidR="005604CD" w:rsidRPr="001B6375">
        <w:rPr>
          <w:u w:val="single"/>
        </w:rPr>
        <w:t xml:space="preserve"> </w:t>
      </w:r>
    </w:p>
    <w:p w:rsidR="00790881" w:rsidRDefault="00790881" w:rsidP="00E54160">
      <w:pPr>
        <w:spacing w:line="360" w:lineRule="auto"/>
        <w:rPr>
          <w:u w:val="single"/>
        </w:rPr>
      </w:pPr>
    </w:p>
    <w:p w:rsidR="00790881" w:rsidRDefault="00790881" w:rsidP="00E54160">
      <w:pPr>
        <w:spacing w:line="360" w:lineRule="auto"/>
        <w:rPr>
          <w:u w:val="single"/>
        </w:rPr>
      </w:pPr>
      <w:r w:rsidRPr="001B6375">
        <w:rPr>
          <w:u w:val="single"/>
        </w:rPr>
        <w:t>History of Higher Ground</w:t>
      </w:r>
    </w:p>
    <w:p w:rsidR="00B92264" w:rsidRPr="00B92264" w:rsidRDefault="00F72E2F" w:rsidP="00E54160">
      <w:pPr>
        <w:spacing w:line="360" w:lineRule="auto"/>
        <w:rPr>
          <w:rFonts w:ascii="Helvetica" w:eastAsia="Times New Roman" w:hAnsi="Helvetica" w:cs="Helvetica"/>
          <w:color w:val="3F3F3F"/>
        </w:rPr>
      </w:pPr>
      <w:r>
        <w:tab/>
        <w:t xml:space="preserve">Even though Higher Ground does not have an exact start date, its roots can be traced back to sometime between 1994 or 1995 when Guilford Regional AIDS Interfaith Network (GRAIN) started a resource closet at West Market United Methodist Church in Greensboro. GRAIN consisted of clergy from different churches who wanted to help with the HIV/AIDS crisis. Parishioners were paired with individuals newly diagnosed with HIV/AIDS to act as their surrogate family. </w:t>
      </w:r>
      <w:r w:rsidR="00CE0FB4">
        <w:t xml:space="preserve">Sallie White, the executive director of GRAIN, was the sole employee and spent much of her time writing grants and training care teams to provide services. Between 1995 and 1996, White acquired access to an empty house on Bessemer Street in Greensboro so that GRAIN could have a space to implement its growing services. The house, appropriately named Higher Ground, began to take on more functions making it akin to a home. A memorial plaque currently in Higher Ground tells the story of a mother dedicating the dining room of Higher Ground to the memory of her son </w:t>
      </w:r>
      <w:r w:rsidR="005076D8">
        <w:t xml:space="preserve">Whitt, who died of HIV/AIDS-related complications. What had initially started as a resource closet emerged into a space where individuals saw it to be necessary that folks who were HIV+ and HIV- could have meals </w:t>
      </w:r>
      <w:proofErr w:type="gramStart"/>
      <w:r w:rsidR="005076D8">
        <w:t>together.</w:t>
      </w:r>
      <w:proofErr w:type="gramEnd"/>
      <w:r w:rsidR="005076D8">
        <w:t xml:space="preserve"> The Dining Room, given on April 14, 1996 in honor of Whitt, marked an important moment in Higher Ground’s narrative. In 1997, Mark, my supervisor, was hired to work at Higher Ground. He soon became executive director of the community, sensitive to the diverse emotional, medical, and spiritual needs of </w:t>
      </w:r>
      <w:r w:rsidR="00401455">
        <w:t>those arriving at the house</w:t>
      </w:r>
      <w:r w:rsidR="005076D8">
        <w:t>. On January 1, 2000, Higher Ground became a part of Triad Health Project, falling under its non-profit umbrella.</w:t>
      </w:r>
      <w:r w:rsidR="00401455">
        <w:t xml:space="preserve"> The HIV/AIDS narrative has changed throughout the years: what was once an epidemic conceived of as only affecting a large proportion of gay men has now become a crisis impacting more and more minority communities. Regardless, Higher Ground has adapted to this evolving narrative, forever being sensitive to the </w:t>
      </w:r>
      <w:r w:rsidR="00401455">
        <w:lastRenderedPageBreak/>
        <w:t>ways race, social class, gender, and sexuality influence one’s life with HIV.</w:t>
      </w:r>
    </w:p>
    <w:p w:rsidR="00B92264" w:rsidRDefault="00B92264" w:rsidP="00E54160">
      <w:pPr>
        <w:spacing w:line="360" w:lineRule="auto"/>
      </w:pPr>
    </w:p>
    <w:p w:rsidR="00FB3F71" w:rsidRPr="00401455" w:rsidRDefault="00AE62A0" w:rsidP="00E54160">
      <w:pPr>
        <w:spacing w:line="360" w:lineRule="auto"/>
        <w:rPr>
          <w:u w:val="single"/>
        </w:rPr>
      </w:pPr>
      <w:r>
        <w:rPr>
          <w:noProof/>
        </w:rPr>
        <w:drawing>
          <wp:anchor distT="0" distB="0" distL="114300" distR="114300" simplePos="0" relativeHeight="251659264" behindDoc="1" locked="0" layoutInCell="1" allowOverlap="1">
            <wp:simplePos x="0" y="0"/>
            <wp:positionH relativeFrom="column">
              <wp:posOffset>3627120</wp:posOffset>
            </wp:positionH>
            <wp:positionV relativeFrom="paragraph">
              <wp:posOffset>152400</wp:posOffset>
            </wp:positionV>
            <wp:extent cx="2377440" cy="1219200"/>
            <wp:effectExtent l="0" t="0" r="3810" b="0"/>
            <wp:wrapTight wrapText="bothSides">
              <wp:wrapPolygon edited="0">
                <wp:start x="0" y="0"/>
                <wp:lineTo x="0" y="21263"/>
                <wp:lineTo x="21462" y="21263"/>
                <wp:lineTo x="21462" y="0"/>
                <wp:lineTo x="0" y="0"/>
              </wp:wrapPolygon>
            </wp:wrapTight>
            <wp:docPr id="1" name="Picture 1" descr="Triad Health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d Health Proj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744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01455" w:rsidRPr="00401455">
        <w:rPr>
          <w:u w:val="single"/>
        </w:rPr>
        <w:t>Triad Health Project (THP)</w:t>
      </w:r>
    </w:p>
    <w:p w:rsidR="00AE62A0" w:rsidRDefault="00401455" w:rsidP="00E54160">
      <w:pPr>
        <w:spacing w:line="360" w:lineRule="auto"/>
      </w:pPr>
      <w:r>
        <w:tab/>
        <w:t>THP, the larger organization under which Higher Ground falls, is a non-profit</w:t>
      </w:r>
      <w:r w:rsidR="00AE62A0">
        <w:t xml:space="preserve"> organization</w:t>
      </w:r>
      <w:r>
        <w:t xml:space="preserve"> </w:t>
      </w:r>
      <w:r w:rsidR="00AE62A0">
        <w:t>offering support, education, and services to individuals who are HIV+. At its core, THP offers emotional AND practical support for individuals who are living with HIV/AIDS, resources for their loved ones, and preventative procedures for folks at risk of acquiring HIV. THP works directly with clients, but it also serves as a collective voice for numerous individuals, advocating for them locally, regionally, and nationally at conferences and to the ears of various funders. Case managers at THP offer individualized support, counseling, and various referrals to clients struggling to cope with their health and the nuanced ramifications that HIV can bring into one’s life.</w:t>
      </w:r>
    </w:p>
    <w:p w:rsidR="00E0236F" w:rsidRDefault="00E0236F" w:rsidP="00E54160">
      <w:pPr>
        <w:spacing w:line="360" w:lineRule="auto"/>
      </w:pPr>
      <w:r>
        <w:tab/>
        <w:t xml:space="preserve">Started in 1986 as a grassroots effort amongst 14 friends, THP has evolved to meet the changing trajectory of the HIV narrative, adapting its services to adhere to changing medicines, evolving stigmas, and new life-expectancies of those impacted by the virus. Referrals are a major part of THP’s services now, for case workers and other staff and volunteers refer folks to local medical services, innovative medicinal studies, food pantries, social service organizations, and local housing providers. Prevention and education are also critical aspects of THP. Informational programs and the dispersal of educational materials (in multiple languages), along with free HIV and STI </w:t>
      </w:r>
      <w:r w:rsidR="003A19B5">
        <w:t>testing, all become conduits to inhibit the spread of HIV.</w:t>
      </w:r>
    </w:p>
    <w:p w:rsidR="00B86555" w:rsidRDefault="00B86555" w:rsidP="00E54160">
      <w:pPr>
        <w:spacing w:line="360" w:lineRule="auto"/>
        <w:jc w:val="right"/>
        <w:rPr>
          <w:i/>
          <w:sz w:val="22"/>
        </w:rPr>
      </w:pPr>
      <w:r w:rsidRPr="00B86555">
        <w:rPr>
          <w:i/>
          <w:sz w:val="22"/>
        </w:rPr>
        <w:t xml:space="preserve">(I found some of this information on </w:t>
      </w:r>
      <w:hyperlink r:id="rId7" w:history="1">
        <w:r w:rsidRPr="00B86555">
          <w:rPr>
            <w:rStyle w:val="Hyperlink"/>
            <w:i/>
            <w:sz w:val="22"/>
          </w:rPr>
          <w:t>http://www.triadhealthproject.com/about-thp/</w:t>
        </w:r>
      </w:hyperlink>
      <w:r w:rsidRPr="00B86555">
        <w:rPr>
          <w:i/>
          <w:sz w:val="22"/>
        </w:rPr>
        <w:t xml:space="preserve"> and through speaking with THP staff who sometimes visit Higher Ground).</w:t>
      </w:r>
    </w:p>
    <w:p w:rsidR="00B86555" w:rsidRDefault="00B86555" w:rsidP="00E54160">
      <w:pPr>
        <w:spacing w:line="360" w:lineRule="auto"/>
      </w:pPr>
    </w:p>
    <w:p w:rsidR="00B86555" w:rsidRDefault="00B86555" w:rsidP="00E54160">
      <w:pPr>
        <w:spacing w:line="360" w:lineRule="auto"/>
        <w:rPr>
          <w:u w:val="single"/>
        </w:rPr>
      </w:pPr>
      <w:r>
        <w:rPr>
          <w:u w:val="single"/>
        </w:rPr>
        <w:t>Funding</w:t>
      </w:r>
      <w:r w:rsidR="00501C92">
        <w:rPr>
          <w:u w:val="single"/>
        </w:rPr>
        <w:t xml:space="preserve"> and Organizational Structure</w:t>
      </w:r>
      <w:r>
        <w:rPr>
          <w:u w:val="single"/>
        </w:rPr>
        <w:t xml:space="preserve"> for Higher Ground</w:t>
      </w:r>
    </w:p>
    <w:p w:rsidR="00B86555" w:rsidRDefault="00B86555" w:rsidP="00E54160">
      <w:pPr>
        <w:spacing w:line="360" w:lineRule="auto"/>
        <w:ind w:firstLine="720"/>
      </w:pPr>
      <w:r>
        <w:t xml:space="preserve">While Higher Ground relies on the generous contributions of local churches who provide meals and finances, and of volunteers who offer their time, the largest proportion of funds that Higher Ground receives comes from </w:t>
      </w:r>
      <w:r>
        <w:t>THP</w:t>
      </w:r>
      <w:r>
        <w:t>.</w:t>
      </w:r>
      <w:r w:rsidRPr="00437F5C">
        <w:t xml:space="preserve"> </w:t>
      </w:r>
      <w:r>
        <w:t xml:space="preserve">The non-profit </w:t>
      </w:r>
      <w:r w:rsidRPr="00437F5C">
        <w:t>receives individual, foundation</w:t>
      </w:r>
      <w:r>
        <w:t>, and corporate contributions, federal and state grants,</w:t>
      </w:r>
      <w:r w:rsidRPr="00437F5C">
        <w:t xml:space="preserve"> and funding from local governments. </w:t>
      </w:r>
      <w:r>
        <w:t xml:space="preserve">THP is also a member of United Way of Greater Greensboro, so funds came come from that avenue </w:t>
      </w:r>
      <w:r>
        <w:lastRenderedPageBreak/>
        <w:t xml:space="preserve">sometimes. Since there is also a THP in High Point, the organization also gets to be a part of the United Way of Greater High Point. </w:t>
      </w:r>
      <w:r w:rsidR="00501C92">
        <w:t>At THP, there is a development director who devotes time to writing grants and securing United Way funds. She develops annual fundraisers such as the annual Ron Johnson Red Ribbon Run &amp; AIDS Walk. Currently, THP offers a discretionary account for Higher Ground, allocating funds that allow it to be a sustainable day-house.</w:t>
      </w:r>
    </w:p>
    <w:p w:rsidR="00B86555" w:rsidRDefault="00B86555" w:rsidP="00E54160">
      <w:pPr>
        <w:spacing w:line="360" w:lineRule="auto"/>
        <w:ind w:firstLine="720"/>
        <w:rPr>
          <w:u w:val="single"/>
        </w:rPr>
      </w:pPr>
      <w:r>
        <w:t xml:space="preserve">Essentially, the monies that Higher Ground receives can come from THP or private donors. </w:t>
      </w:r>
      <w:r w:rsidR="00501C92">
        <w:t>Utilities, for instance, are always paid for by service providers. However, t</w:t>
      </w:r>
      <w:r>
        <w:t>his means that Mark will often be expected to comply with strictures set at THP, even if ideologically, he disagrees with them. Several times, he has mentioned that THP and Higher Ground commonly skirt the line of being close to running out of money. However, he has assured me that this is kind of the nature of organizations such as this; there is always a fear of running out of funds. That fear has been with THP for its entire 31 years, but after years of persistence, that fear becomes part and parcel with the work. It is something that the staff and board must always be mindful of, but since they know that the risk of depleted funds comes with the work, they must not let it interfere with their drive to promote resiliency and health.</w:t>
      </w:r>
    </w:p>
    <w:p w:rsidR="00B86555" w:rsidRPr="00501C92" w:rsidRDefault="00501C92" w:rsidP="00E54160">
      <w:pPr>
        <w:spacing w:line="360" w:lineRule="auto"/>
      </w:pPr>
      <w:r>
        <w:tab/>
        <w:t xml:space="preserve">In terms of organizational structure, Mark is the one and only staff member at Higher Ground. </w:t>
      </w:r>
      <w:r w:rsidR="007E5055">
        <w:t xml:space="preserve">THP, overall, has ten board members and a staff of eleven. Mark’s leadership is the heart of Higher Ground, as he acts as its spiritual leader, offering devotions and various therapies. </w:t>
      </w:r>
      <w:r>
        <w:t>Volunteers in the community</w:t>
      </w:r>
      <w:r w:rsidR="007E5055">
        <w:t xml:space="preserve"> and from THP offer therapies too; even some clients lead support groups. Licensed arts therapists and individuals with their own therapy ministries volunteer their services, for instance. Notably, some leadership has come from individuals who are HIV+ themselves. A man named James was a spiritual leader of the house. He’d get up every morning for dialysis, go work out, and serve the house through various means, continuing this up until his death. His form of leadership prompted others in the house to take on similar leadership roles. </w:t>
      </w:r>
    </w:p>
    <w:p w:rsidR="00B86555" w:rsidRDefault="00B86555" w:rsidP="00E54160">
      <w:pPr>
        <w:spacing w:line="360" w:lineRule="auto"/>
        <w:rPr>
          <w:u w:val="single"/>
        </w:rPr>
      </w:pPr>
    </w:p>
    <w:p w:rsidR="007E5055" w:rsidRDefault="007E5055" w:rsidP="00E54160">
      <w:pPr>
        <w:spacing w:line="360" w:lineRule="auto"/>
        <w:rPr>
          <w:u w:val="single"/>
        </w:rPr>
      </w:pPr>
      <w:r>
        <w:rPr>
          <w:u w:val="single"/>
        </w:rPr>
        <w:t>Approaches to Social Change</w:t>
      </w:r>
    </w:p>
    <w:p w:rsidR="007E5055" w:rsidRDefault="007E5055" w:rsidP="00E54160">
      <w:pPr>
        <w:spacing w:line="360" w:lineRule="auto"/>
      </w:pPr>
      <w:r>
        <w:tab/>
        <w:t xml:space="preserve">As I have spent time at Higher Ground and witnessed its various means of generating healing, I am unable to pick only one approach to social justice that Higher Ground consistently implements. In fact, I witness daily its commitment to Direct Service and Self-Help/Community Development. These two approaches to social change are fundamental to the various services </w:t>
      </w:r>
      <w:r>
        <w:lastRenderedPageBreak/>
        <w:t>Higher Ground offers and I see them manifested each day.</w:t>
      </w:r>
    </w:p>
    <w:p w:rsidR="00383B56" w:rsidRDefault="00383B56" w:rsidP="00E54160">
      <w:pPr>
        <w:spacing w:line="360" w:lineRule="auto"/>
      </w:pPr>
      <w:r>
        <w:tab/>
        <w:t>In terms of direct service, Higher Ground offers meals and various therapies to HIV+ individuals, particularly those who are struggling with cyclical poverty. The house and community provide a space where people can laugh, cry, or even attain basic needs like clothing and food. As an extension to therapies and practical resources, Higher Ground will often refer new attendees in need of medical services to THP or other treatment centers where folks can receive health plans and work with case managers.</w:t>
      </w:r>
      <w:r w:rsidR="00980CDA">
        <w:t xml:space="preserve"> Bus passes, financial support, and information about affordable housing are all gifts given at Higher Ground.</w:t>
      </w:r>
      <w:r>
        <w:t xml:space="preserve"> In regards to self-help/community development, Higher Ground is adamant about making the role of clients and volunteers/staff as very blurred. </w:t>
      </w:r>
      <w:r w:rsidR="00980CDA">
        <w:t>Not only does this decrease the likelihood of paternalism on part of volunteers, but it ensures that e</w:t>
      </w:r>
      <w:r>
        <w:t>ach person feels as though they</w:t>
      </w:r>
      <w:r w:rsidR="00980CDA">
        <w:t xml:space="preserve"> can</w:t>
      </w:r>
      <w:r>
        <w:t xml:space="preserve"> contribute something to the family. Some clients, for instance, get to cook meals and go grocery shopping. Others even facilitate therapy groups. In various ways, each person—volunteer, client, THP staff person, intern, first-time-visitor, etc.—is empowered to heal in their own way. </w:t>
      </w:r>
    </w:p>
    <w:p w:rsidR="00383B56" w:rsidRDefault="00980CDA" w:rsidP="00E54160">
      <w:pPr>
        <w:spacing w:line="360" w:lineRule="auto"/>
      </w:pPr>
      <w:r>
        <w:tab/>
        <w:t xml:space="preserve">While Direct Service and Self-Help/Community Development are the approaches to social change most visible at Higher Ground, I would love to explore how the community could become even more involved in </w:t>
      </w:r>
      <w:r w:rsidR="004C72DF">
        <w:t>Direct Action/Community Organizing</w:t>
      </w:r>
      <w:r>
        <w:t xml:space="preserve">. Because we are so focused on supporting the needs of individuals and building community amongst Higher Ground members, our efforts and attentions become </w:t>
      </w:r>
      <w:proofErr w:type="spellStart"/>
      <w:r>
        <w:t>siloed</w:t>
      </w:r>
      <w:proofErr w:type="spellEnd"/>
      <w:r>
        <w:t xml:space="preserve"> into the everyday happenings that take place within the house. Mark does a wonderful job advocating for the importance of Higher Ground and conveying its n</w:t>
      </w:r>
      <w:r w:rsidR="004C72DF">
        <w:t>ecessity to stakeholders at THP; h</w:t>
      </w:r>
      <w:r>
        <w:t>e continually strives to communicate the value of the house and the different types of therapies occurring within it to the greater Greensboro community.</w:t>
      </w:r>
      <w:r w:rsidR="004C72DF">
        <w:t xml:space="preserve"> However, I think emphasizing a direct action/community organizing approach even more could influence policy change within the area. More fundraising endeavors, conducted by clients and HIV+ individuals, could prompt more media attention to Higher Ground and communicate to others that change in HIV/AIDS policies are needed. A magical aspect of the house is that it is, in some ways, a secret within the Greensboro community. Its pseudo-secrecy ensures that it will be a safe place for so many. However, by engaging in community organizing/direct action, Higher Ground could publicize itself more and accrue more funds. Even more importantly, it could empower clients to advocate for themselves on these public platforms, igniting the leadership impulses of those impacted by HIV.</w:t>
      </w:r>
    </w:p>
    <w:p w:rsidR="00980CDA" w:rsidRDefault="00980CDA" w:rsidP="00E54160">
      <w:pPr>
        <w:spacing w:line="360" w:lineRule="auto"/>
      </w:pPr>
    </w:p>
    <w:p w:rsidR="00980CDA" w:rsidRPr="009E4A58" w:rsidRDefault="009E4A58" w:rsidP="00E54160">
      <w:pPr>
        <w:spacing w:line="360" w:lineRule="auto"/>
        <w:rPr>
          <w:u w:val="single"/>
        </w:rPr>
      </w:pPr>
      <w:r>
        <w:rPr>
          <w:u w:val="single"/>
        </w:rPr>
        <w:t>Feminism, Neoliberalism, and the Non-Profit Industrial Complex at Higher Ground</w:t>
      </w:r>
    </w:p>
    <w:p w:rsidR="00B25A35" w:rsidRPr="00E54160" w:rsidRDefault="00B25A35" w:rsidP="00E54160">
      <w:pPr>
        <w:spacing w:line="360" w:lineRule="auto"/>
        <w:ind w:firstLine="720"/>
        <w:rPr>
          <w:rFonts w:cs="Times New Roman"/>
        </w:rPr>
      </w:pPr>
      <w:r>
        <w:t xml:space="preserve">Learning about the Non-Profit Industrial Complex has been extremely important to my work at Higher Ground. </w:t>
      </w:r>
      <w:r>
        <w:t xml:space="preserve">Because my daily focus at Higher Ground is on individual clients who are communicating immediate needs, I admit that my role in direct service sometimes blinds me to acknowledging the ways in which THP’s accrual of funds contributes to a de-radicalization of HIV/AIDS activism, a perpetuation of capitalism, and the adoption of corporate-style management at THP overall. At Higher Ground, I think I sometimes get too preoccupied with the individual circumstances and refrain from assessing systemic injustices. This is why knowledge of the NPIC can be so important. </w:t>
      </w:r>
      <w:r>
        <w:t>With Higher Ground’s focus on individual lives, it can be easy for those involved within it to forge</w:t>
      </w:r>
      <w:r>
        <w:t xml:space="preserve">t to analyze that THP, being a non-profit, must be complicit in capitalist, de-radicalizing aims to accrue funds. </w:t>
      </w:r>
      <w:r w:rsidR="00E54160">
        <w:t>Moreover, I am becoming conscious of how Higher Ground starts to operate in terms of a shadow state.</w:t>
      </w:r>
      <w:r w:rsidRPr="009E4A58">
        <w:rPr>
          <w:rFonts w:cs="Times New Roman"/>
          <w:shd w:val="clear" w:color="auto" w:fill="FFFFFF"/>
        </w:rPr>
        <w:t xml:space="preserve"> I initially went in expecting to be involved with HIV/AIDS activism and the type of work that dismantles the stigma. However, I’m realizing that </w:t>
      </w:r>
      <w:r w:rsidR="00E54160">
        <w:rPr>
          <w:rFonts w:cs="Times New Roman"/>
          <w:shd w:val="clear" w:color="auto" w:fill="FFFFFF"/>
        </w:rPr>
        <w:t>Higher Ground</w:t>
      </w:r>
      <w:r w:rsidRPr="009E4A58">
        <w:rPr>
          <w:rFonts w:cs="Times New Roman"/>
          <w:shd w:val="clear" w:color="auto" w:fill="FFFFFF"/>
        </w:rPr>
        <w:t xml:space="preserve"> must do double duties as well: it offers meals, clothing, money, and bus passes to so many individuals in need.</w:t>
      </w:r>
      <w:r w:rsidR="00E54160">
        <w:rPr>
          <w:rFonts w:cs="Times New Roman"/>
          <w:shd w:val="clear" w:color="auto" w:fill="FFFFFF"/>
        </w:rPr>
        <w:t xml:space="preserve"> I witnessed a man recently released from jail sit in Higher Ground with rain-soaked clothes (his only pair of clothes). Higher Ground stepped in to clothe the man and provide him basic necessities.</w:t>
      </w:r>
      <w:r w:rsidRPr="009E4A58">
        <w:rPr>
          <w:rFonts w:cs="Times New Roman"/>
          <w:shd w:val="clear" w:color="auto" w:fill="FFFFFF"/>
        </w:rPr>
        <w:t xml:space="preserve"> Ideally, the state would make sure that individuals at Higher Ground were receiving their basic needs, while we could focus on the more complex stages of empowerment, but the NPIC lets the state avoid its responsibilities in that.</w:t>
      </w:r>
    </w:p>
    <w:p w:rsidR="00B25A35" w:rsidRDefault="00E54160" w:rsidP="00E54160">
      <w:pPr>
        <w:spacing w:line="360" w:lineRule="auto"/>
        <w:ind w:firstLine="720"/>
      </w:pPr>
      <w:r>
        <w:t>Furthermore, n</w:t>
      </w:r>
      <w:r w:rsidR="00B25A35">
        <w:t xml:space="preserve">eoliberalism is most apparent at my internship when I see how pervasive the neoliberal ideology of ‘pulling-yourself-up-by-your-boots-straps’ becomes for people entering the house. Every day, I see people struggling with addiction of some form, confounded with their HIV+ status, and they carry a considerable amount of guilt for not being able to escape their poverty, poor health, and addiction. The neoliberal idea that one should be able to freely pursue the market and rise to affluence without restraint carries with it the idea that if one is unable to succeed and do so, then they must be flawed and at fault. In the recovery and addiction therapy group that happens at Higher Ground on Fridays, I hear a lot of self-blame coming from some of the speakers. They blame themselves for their inabilities to find better lives. I think this self-blame falls perfectly in line with neoliberal ideas. It regulates people unable to thrive within its system, concealing the factors inhibiting their success, and communicating the idea that their </w:t>
      </w:r>
      <w:r w:rsidR="00B25A35">
        <w:lastRenderedPageBreak/>
        <w:t>inferior state is nobody’s fault but their own. The self-condemnation that neoliberalism promotes is so infuriating and disheartening.</w:t>
      </w:r>
    </w:p>
    <w:p w:rsidR="00B25A35" w:rsidRDefault="009E4A58" w:rsidP="00E54160">
      <w:pPr>
        <w:spacing w:line="360" w:lineRule="auto"/>
        <w:ind w:firstLine="720"/>
      </w:pPr>
      <w:r>
        <w:t xml:space="preserve">I consider one of </w:t>
      </w:r>
      <w:r>
        <w:t>Higher Ground</w:t>
      </w:r>
      <w:r>
        <w:t>’s</w:t>
      </w:r>
      <w:r>
        <w:t xml:space="preserve"> </w:t>
      </w:r>
      <w:r>
        <w:t>numerous strengths to be its commitment and devotion</w:t>
      </w:r>
      <w:r>
        <w:t xml:space="preserve"> to </w:t>
      </w:r>
      <w:r>
        <w:t>various</w:t>
      </w:r>
      <w:r>
        <w:t xml:space="preserve"> different feminisms. Higher Ground’s mission, at is core, is to offer individuals a reprieve from the stigma of HIV while simultaneously offering people resources to address their economic needs, health care needs, and employment status. The various therapies allow people to voice their feelings about racial injustices and their marginalization based on their sexuality and/or gender expression. I believe that the feminisms I get to express at Higher Ground lead to the advancement of personal empowerment, but they also are starting to address the health and economic issues plaguing many of the members of the house. </w:t>
      </w:r>
      <w:r>
        <w:t>During my time at Higher Ground</w:t>
      </w:r>
      <w:r>
        <w:t>, I have had conversations with members about addiction and how employment can be inhibited by both addiction and failing health due to HIV-related illnesses. While the therapies I help with can preach about personal empowerment, our services such as meals, job counseling, and addiction help can attend to the less glamorized sections of feminism that adhere to economic reform.</w:t>
      </w:r>
      <w:r>
        <w:t xml:space="preserve"> A</w:t>
      </w:r>
      <w:r>
        <w:t xml:space="preserve">s I </w:t>
      </w:r>
      <w:r>
        <w:t>spend more time at Higher Ground</w:t>
      </w:r>
      <w:r>
        <w:t xml:space="preserve">, I realize my prioritized, familiar tenets of feminism (the ‘it wasn’t your fault,’ and ‘all bodies are beautiful’ feminisms) are still very important, but these messages only address particular issues. The messages do not always pertain to the racial and major economic injustices (like homelessness) that I have not had to confront because of my own privileges. I keep thinking to one of my favorite members at the house, an HIV+ woman of color whose health is compromised because of addiction. Her severe leg pain—likely caused by HIV itself AND HIV treatment medication—inhibits her from working. She needs the feminist messages I have always ascribed to, of course, but she also needs to hear how feminism is fighting against racial injustice, economic disparity, HIV stigma, and big pharmaceutical companies. </w:t>
      </w:r>
      <w:r>
        <w:t>What I love about Higher Ground is that for</w:t>
      </w:r>
      <w:r>
        <w:t xml:space="preserve"> every single person who walks in th</w:t>
      </w:r>
      <w:r>
        <w:t xml:space="preserve">rough the door, there is a sensitivity to race, class, gender, sexuality, </w:t>
      </w:r>
      <w:r w:rsidR="00B25A35">
        <w:t>citizenship status, and bodily ability.</w:t>
      </w:r>
      <w:r>
        <w:t xml:space="preserve"> </w:t>
      </w:r>
      <w:r w:rsidR="00B25A35">
        <w:t xml:space="preserve">Even though hierarchies between clients, volunteers, staff, etc. are blurred, these social means of categorization are still treated with attention and sensitivity. </w:t>
      </w:r>
    </w:p>
    <w:p w:rsidR="009E4A58" w:rsidRDefault="009E4A58" w:rsidP="00E54160">
      <w:pPr>
        <w:spacing w:line="360" w:lineRule="auto"/>
        <w:ind w:firstLine="720"/>
      </w:pPr>
      <w:r>
        <w:t xml:space="preserve">In many ways, I feel as though every single person at Higher Ground, clients, volunteers, staff, visitors, etc. have been socially outcast and marginalized in some regard. Mark, my supervisor, has taught me to prioritize those who have the least and to make sure that no one is </w:t>
      </w:r>
      <w:r>
        <w:lastRenderedPageBreak/>
        <w:t xml:space="preserve">ever hungry. Hunger, in a literal and figurative sense, is something I am addressing in many individuals, a disproportionate number of whom are non-white, queer, and impoverished. My feminisms are changing because Higher Ground is prompting me to center these individuals in my understanding of the feminist enterprise. </w:t>
      </w:r>
    </w:p>
    <w:p w:rsidR="00E54160" w:rsidRDefault="00E54160" w:rsidP="00E54160">
      <w:pPr>
        <w:spacing w:line="360" w:lineRule="auto"/>
        <w:ind w:firstLine="720"/>
      </w:pPr>
    </w:p>
    <w:p w:rsidR="009E4A58" w:rsidRDefault="00E54160" w:rsidP="00E54160">
      <w:pPr>
        <w:spacing w:line="360" w:lineRule="auto"/>
        <w:rPr>
          <w:rFonts w:cs="Times New Roman"/>
          <w:shd w:val="clear" w:color="auto" w:fill="FFFFFF"/>
        </w:rPr>
      </w:pPr>
      <w:r>
        <w:rPr>
          <w:rFonts w:cs="Times New Roman"/>
          <w:shd w:val="clear" w:color="auto" w:fill="FFFFFF"/>
        </w:rPr>
        <w:tab/>
        <w:t>Overall, I believe Higher Ground’s greatest strength in confronting the NPIC and neo-liberalism is its feminist principal of promoting hope, love, and community. Higher Ground never tries to regulate the emotions of people—sadness, anger, and frustration are all valid. When asking around amongst my Higher Ground family what they consider the best part of the community to be, I was met with various responses.</w:t>
      </w:r>
    </w:p>
    <w:p w:rsidR="00E54160" w:rsidRDefault="00E54160" w:rsidP="00E54160">
      <w:pPr>
        <w:pStyle w:val="ListParagraph"/>
        <w:numPr>
          <w:ilvl w:val="0"/>
          <w:numId w:val="4"/>
        </w:numPr>
        <w:spacing w:line="360" w:lineRule="auto"/>
        <w:rPr>
          <w:rFonts w:cs="Times New Roman"/>
          <w:shd w:val="clear" w:color="auto" w:fill="FFFFFF"/>
        </w:rPr>
      </w:pPr>
      <w:r>
        <w:rPr>
          <w:rFonts w:cs="Times New Roman"/>
          <w:shd w:val="clear" w:color="auto" w:fill="FFFFFF"/>
        </w:rPr>
        <w:t>“It’s a place you can be whoever you want to be. You can just be you,” one person said.</w:t>
      </w:r>
    </w:p>
    <w:p w:rsidR="00E54160" w:rsidRDefault="00E54160" w:rsidP="00E54160">
      <w:pPr>
        <w:pStyle w:val="ListParagraph"/>
        <w:numPr>
          <w:ilvl w:val="0"/>
          <w:numId w:val="4"/>
        </w:numPr>
        <w:spacing w:line="360" w:lineRule="auto"/>
        <w:rPr>
          <w:rFonts w:cs="Times New Roman"/>
          <w:shd w:val="clear" w:color="auto" w:fill="FFFFFF"/>
        </w:rPr>
      </w:pPr>
      <w:r>
        <w:rPr>
          <w:rFonts w:cs="Times New Roman"/>
          <w:shd w:val="clear" w:color="auto" w:fill="FFFFFF"/>
        </w:rPr>
        <w:t>“You always get to smile and feel safe—safer than anywhere else in the world,” another person said.</w:t>
      </w:r>
    </w:p>
    <w:p w:rsidR="00E54160" w:rsidRDefault="00E54160" w:rsidP="00E54160">
      <w:pPr>
        <w:pStyle w:val="ListParagraph"/>
        <w:numPr>
          <w:ilvl w:val="0"/>
          <w:numId w:val="4"/>
        </w:numPr>
        <w:spacing w:line="360" w:lineRule="auto"/>
        <w:rPr>
          <w:rFonts w:cs="Times New Roman"/>
          <w:shd w:val="clear" w:color="auto" w:fill="FFFFFF"/>
        </w:rPr>
      </w:pPr>
      <w:r>
        <w:rPr>
          <w:rFonts w:cs="Times New Roman"/>
          <w:shd w:val="clear" w:color="auto" w:fill="FFFFFF"/>
        </w:rPr>
        <w:t>“The house is full of broken people, and it’s impossible that a place full of broken people won’t mean that sometimes someone is going to hurt another person, but we still come back together in love,” another person said.</w:t>
      </w:r>
    </w:p>
    <w:p w:rsidR="00E54160" w:rsidRDefault="00E54160" w:rsidP="00E54160">
      <w:pPr>
        <w:pStyle w:val="ListParagraph"/>
        <w:numPr>
          <w:ilvl w:val="0"/>
          <w:numId w:val="4"/>
        </w:numPr>
        <w:spacing w:line="360" w:lineRule="auto"/>
        <w:rPr>
          <w:rFonts w:cs="Times New Roman"/>
          <w:shd w:val="clear" w:color="auto" w:fill="FFFFFF"/>
        </w:rPr>
      </w:pPr>
      <w:r>
        <w:rPr>
          <w:rFonts w:cs="Times New Roman"/>
          <w:shd w:val="clear" w:color="auto" w:fill="FFFFFF"/>
        </w:rPr>
        <w:t>“Anyone and everyone can heal here,” said someone else.</w:t>
      </w:r>
    </w:p>
    <w:p w:rsidR="00E54160" w:rsidRPr="00E54160" w:rsidRDefault="00E54160" w:rsidP="00E54160">
      <w:pPr>
        <w:spacing w:line="360" w:lineRule="auto"/>
        <w:rPr>
          <w:rFonts w:cs="Times New Roman"/>
          <w:shd w:val="clear" w:color="auto" w:fill="FFFFFF"/>
        </w:rPr>
      </w:pPr>
      <w:r>
        <w:rPr>
          <w:rFonts w:cs="Times New Roman"/>
          <w:shd w:val="clear" w:color="auto" w:fill="FFFFFF"/>
        </w:rPr>
        <w:t>Essentially, these testimonies contribute to the idea that Higher Ground promotes healing and love in so many nuanced ways, meeting people where they are in their own journeys in life.</w:t>
      </w:r>
    </w:p>
    <w:p w:rsidR="009E4A58" w:rsidRDefault="009E4A58" w:rsidP="00E54160">
      <w:pPr>
        <w:spacing w:line="360" w:lineRule="auto"/>
        <w:rPr>
          <w:rFonts w:cs="Times New Roman"/>
          <w:shd w:val="clear" w:color="auto" w:fill="FFFFFF"/>
        </w:rPr>
      </w:pPr>
    </w:p>
    <w:p w:rsidR="00AE62A0" w:rsidRDefault="00AE62A0" w:rsidP="00E54160">
      <w:pPr>
        <w:spacing w:line="360" w:lineRule="auto"/>
      </w:pPr>
    </w:p>
    <w:p w:rsidR="0056697B" w:rsidRDefault="0056697B" w:rsidP="00E54160">
      <w:pPr>
        <w:spacing w:line="360" w:lineRule="auto"/>
      </w:pPr>
      <w:bookmarkStart w:id="0" w:name="_GoBack"/>
      <w:bookmarkEnd w:id="0"/>
    </w:p>
    <w:sectPr w:rsidR="00566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647DC"/>
    <w:multiLevelType w:val="multilevel"/>
    <w:tmpl w:val="31F4E5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D4512E"/>
    <w:multiLevelType w:val="multilevel"/>
    <w:tmpl w:val="2AEC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9A2276"/>
    <w:multiLevelType w:val="hybridMultilevel"/>
    <w:tmpl w:val="490240C8"/>
    <w:lvl w:ilvl="0" w:tplc="1ED88B7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F706A8"/>
    <w:multiLevelType w:val="multilevel"/>
    <w:tmpl w:val="35CC34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1D5"/>
    <w:rsid w:val="001B6375"/>
    <w:rsid w:val="001C5B23"/>
    <w:rsid w:val="002F6AD0"/>
    <w:rsid w:val="00383B56"/>
    <w:rsid w:val="003A19B5"/>
    <w:rsid w:val="003F3FBB"/>
    <w:rsid w:val="00401455"/>
    <w:rsid w:val="004C72DF"/>
    <w:rsid w:val="00501C92"/>
    <w:rsid w:val="005076D8"/>
    <w:rsid w:val="005604CD"/>
    <w:rsid w:val="0056697B"/>
    <w:rsid w:val="00572443"/>
    <w:rsid w:val="006820BE"/>
    <w:rsid w:val="00727057"/>
    <w:rsid w:val="00790881"/>
    <w:rsid w:val="007E5055"/>
    <w:rsid w:val="008121D5"/>
    <w:rsid w:val="0089755A"/>
    <w:rsid w:val="00980CDA"/>
    <w:rsid w:val="009E4A58"/>
    <w:rsid w:val="00AE62A0"/>
    <w:rsid w:val="00B20451"/>
    <w:rsid w:val="00B25A35"/>
    <w:rsid w:val="00B86555"/>
    <w:rsid w:val="00B92264"/>
    <w:rsid w:val="00CE0FB4"/>
    <w:rsid w:val="00E0236F"/>
    <w:rsid w:val="00E54160"/>
    <w:rsid w:val="00F72E2F"/>
    <w:rsid w:val="00FA7A9F"/>
    <w:rsid w:val="00FB3F71"/>
    <w:rsid w:val="00FF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D7F42-EE1A-4EF1-9BB8-E3B11BA2A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057"/>
    <w:pPr>
      <w:widowControl w:val="0"/>
      <w:autoSpaceDE w:val="0"/>
      <w:autoSpaceDN w:val="0"/>
      <w:adjustRightInd w:val="0"/>
    </w:pPr>
    <w:rPr>
      <w:rFonts w:ascii="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47E8"/>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3F3FBB"/>
    <w:pPr>
      <w:ind w:left="720"/>
      <w:contextualSpacing/>
    </w:pPr>
    <w:rPr>
      <w:rFonts w:eastAsia="Times New Roman"/>
    </w:rPr>
  </w:style>
  <w:style w:type="paragraph" w:styleId="NormalWeb">
    <w:name w:val="Normal (Web)"/>
    <w:basedOn w:val="Normal"/>
    <w:uiPriority w:val="99"/>
    <w:semiHidden/>
    <w:unhideWhenUsed/>
    <w:rsid w:val="00B92264"/>
    <w:pPr>
      <w:widowControl/>
      <w:autoSpaceDE/>
      <w:autoSpaceDN/>
      <w:adjustRightInd/>
      <w:spacing w:before="100" w:beforeAutospacing="1" w:after="100" w:afterAutospacing="1"/>
    </w:pPr>
    <w:rPr>
      <w:rFonts w:eastAsia="Times New Roman" w:cs="Times New Roman"/>
    </w:rPr>
  </w:style>
  <w:style w:type="character" w:styleId="Hyperlink">
    <w:name w:val="Hyperlink"/>
    <w:basedOn w:val="DefaultParagraphFont"/>
    <w:uiPriority w:val="99"/>
    <w:unhideWhenUsed/>
    <w:rsid w:val="00B865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7169">
      <w:bodyDiv w:val="1"/>
      <w:marLeft w:val="0"/>
      <w:marRight w:val="0"/>
      <w:marTop w:val="0"/>
      <w:marBottom w:val="0"/>
      <w:divBdr>
        <w:top w:val="none" w:sz="0" w:space="0" w:color="auto"/>
        <w:left w:val="none" w:sz="0" w:space="0" w:color="auto"/>
        <w:bottom w:val="none" w:sz="0" w:space="0" w:color="auto"/>
        <w:right w:val="none" w:sz="0" w:space="0" w:color="auto"/>
      </w:divBdr>
    </w:div>
    <w:div w:id="1139153016">
      <w:bodyDiv w:val="1"/>
      <w:marLeft w:val="0"/>
      <w:marRight w:val="0"/>
      <w:marTop w:val="0"/>
      <w:marBottom w:val="0"/>
      <w:divBdr>
        <w:top w:val="none" w:sz="0" w:space="0" w:color="auto"/>
        <w:left w:val="none" w:sz="0" w:space="0" w:color="auto"/>
        <w:bottom w:val="none" w:sz="0" w:space="0" w:color="auto"/>
        <w:right w:val="none" w:sz="0" w:space="0" w:color="auto"/>
      </w:divBdr>
      <w:divsChild>
        <w:div w:id="1898587344">
          <w:marLeft w:val="240"/>
          <w:marRight w:val="0"/>
          <w:marTop w:val="240"/>
          <w:marBottom w:val="240"/>
          <w:divBdr>
            <w:top w:val="none" w:sz="0" w:space="0" w:color="auto"/>
            <w:left w:val="none" w:sz="0" w:space="0" w:color="auto"/>
            <w:bottom w:val="none" w:sz="0" w:space="0" w:color="auto"/>
            <w:right w:val="none" w:sz="0" w:space="0" w:color="auto"/>
          </w:divBdr>
        </w:div>
      </w:divsChild>
    </w:div>
    <w:div w:id="1660572457">
      <w:bodyDiv w:val="1"/>
      <w:marLeft w:val="0"/>
      <w:marRight w:val="0"/>
      <w:marTop w:val="0"/>
      <w:marBottom w:val="0"/>
      <w:divBdr>
        <w:top w:val="none" w:sz="0" w:space="0" w:color="auto"/>
        <w:left w:val="none" w:sz="0" w:space="0" w:color="auto"/>
        <w:bottom w:val="none" w:sz="0" w:space="0" w:color="auto"/>
        <w:right w:val="none" w:sz="0" w:space="0" w:color="auto"/>
      </w:divBdr>
      <w:divsChild>
        <w:div w:id="1084567603">
          <w:marLeft w:val="0"/>
          <w:marRight w:val="0"/>
          <w:marTop w:val="0"/>
          <w:marBottom w:val="525"/>
          <w:divBdr>
            <w:top w:val="none" w:sz="0" w:space="0" w:color="auto"/>
            <w:left w:val="none" w:sz="0" w:space="0" w:color="auto"/>
            <w:bottom w:val="none" w:sz="0" w:space="0" w:color="auto"/>
            <w:right w:val="none" w:sz="0" w:space="0" w:color="auto"/>
          </w:divBdr>
          <w:divsChild>
            <w:div w:id="1580139535">
              <w:marLeft w:val="0"/>
              <w:marRight w:val="0"/>
              <w:marTop w:val="0"/>
              <w:marBottom w:val="0"/>
              <w:divBdr>
                <w:top w:val="none" w:sz="0" w:space="0" w:color="auto"/>
                <w:left w:val="none" w:sz="0" w:space="0" w:color="auto"/>
                <w:bottom w:val="none" w:sz="0" w:space="0" w:color="auto"/>
                <w:right w:val="none" w:sz="0" w:space="0" w:color="auto"/>
              </w:divBdr>
            </w:div>
          </w:divsChild>
        </w:div>
        <w:div w:id="718363180">
          <w:marLeft w:val="-225"/>
          <w:marRight w:val="-225"/>
          <w:marTop w:val="0"/>
          <w:marBottom w:val="0"/>
          <w:divBdr>
            <w:top w:val="none" w:sz="0" w:space="0" w:color="auto"/>
            <w:left w:val="none" w:sz="0" w:space="0" w:color="auto"/>
            <w:bottom w:val="none" w:sz="0" w:space="0" w:color="auto"/>
            <w:right w:val="none" w:sz="0" w:space="0" w:color="auto"/>
          </w:divBdr>
          <w:divsChild>
            <w:div w:id="228417774">
              <w:marLeft w:val="0"/>
              <w:marRight w:val="0"/>
              <w:marTop w:val="0"/>
              <w:marBottom w:val="0"/>
              <w:divBdr>
                <w:top w:val="none" w:sz="0" w:space="0" w:color="auto"/>
                <w:left w:val="none" w:sz="0" w:space="0" w:color="auto"/>
                <w:bottom w:val="none" w:sz="0" w:space="0" w:color="auto"/>
                <w:right w:val="none" w:sz="0" w:space="0" w:color="auto"/>
              </w:divBdr>
              <w:divsChild>
                <w:div w:id="1533493993">
                  <w:marLeft w:val="0"/>
                  <w:marRight w:val="0"/>
                  <w:marTop w:val="0"/>
                  <w:marBottom w:val="0"/>
                  <w:divBdr>
                    <w:top w:val="none" w:sz="0" w:space="0" w:color="auto"/>
                    <w:left w:val="none" w:sz="0" w:space="0" w:color="auto"/>
                    <w:bottom w:val="none" w:sz="0" w:space="0" w:color="auto"/>
                    <w:right w:val="none" w:sz="0" w:space="0" w:color="auto"/>
                  </w:divBdr>
                  <w:divsChild>
                    <w:div w:id="359471365">
                      <w:marLeft w:val="0"/>
                      <w:marRight w:val="0"/>
                      <w:marTop w:val="0"/>
                      <w:marBottom w:val="0"/>
                      <w:divBdr>
                        <w:top w:val="none" w:sz="0" w:space="0" w:color="auto"/>
                        <w:left w:val="none" w:sz="0" w:space="0" w:color="auto"/>
                        <w:bottom w:val="none" w:sz="0" w:space="0" w:color="auto"/>
                        <w:right w:val="none" w:sz="0" w:space="0" w:color="auto"/>
                      </w:divBdr>
                      <w:divsChild>
                        <w:div w:id="1419209476">
                          <w:marLeft w:val="0"/>
                          <w:marRight w:val="0"/>
                          <w:marTop w:val="0"/>
                          <w:marBottom w:val="525"/>
                          <w:divBdr>
                            <w:top w:val="none" w:sz="0" w:space="0" w:color="auto"/>
                            <w:left w:val="none" w:sz="0" w:space="0" w:color="auto"/>
                            <w:bottom w:val="none" w:sz="0" w:space="0" w:color="auto"/>
                            <w:right w:val="none" w:sz="0" w:space="0" w:color="auto"/>
                          </w:divBdr>
                          <w:divsChild>
                            <w:div w:id="10434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80324">
              <w:marLeft w:val="0"/>
              <w:marRight w:val="0"/>
              <w:marTop w:val="0"/>
              <w:marBottom w:val="0"/>
              <w:divBdr>
                <w:top w:val="none" w:sz="0" w:space="0" w:color="auto"/>
                <w:left w:val="none" w:sz="0" w:space="0" w:color="auto"/>
                <w:bottom w:val="none" w:sz="0" w:space="0" w:color="auto"/>
                <w:right w:val="none" w:sz="0" w:space="0" w:color="auto"/>
              </w:divBdr>
              <w:divsChild>
                <w:div w:id="212936252">
                  <w:marLeft w:val="0"/>
                  <w:marRight w:val="0"/>
                  <w:marTop w:val="0"/>
                  <w:marBottom w:val="0"/>
                  <w:divBdr>
                    <w:top w:val="none" w:sz="0" w:space="0" w:color="auto"/>
                    <w:left w:val="none" w:sz="0" w:space="0" w:color="auto"/>
                    <w:bottom w:val="none" w:sz="0" w:space="0" w:color="auto"/>
                    <w:right w:val="none" w:sz="0" w:space="0" w:color="auto"/>
                  </w:divBdr>
                  <w:divsChild>
                    <w:div w:id="8794539">
                      <w:marLeft w:val="0"/>
                      <w:marRight w:val="0"/>
                      <w:marTop w:val="0"/>
                      <w:marBottom w:val="0"/>
                      <w:divBdr>
                        <w:top w:val="none" w:sz="0" w:space="0" w:color="auto"/>
                        <w:left w:val="none" w:sz="0" w:space="0" w:color="auto"/>
                        <w:bottom w:val="none" w:sz="0" w:space="0" w:color="auto"/>
                        <w:right w:val="none" w:sz="0" w:space="0" w:color="auto"/>
                      </w:divBdr>
                      <w:divsChild>
                        <w:div w:id="685443199">
                          <w:marLeft w:val="0"/>
                          <w:marRight w:val="0"/>
                          <w:marTop w:val="0"/>
                          <w:marBottom w:val="525"/>
                          <w:divBdr>
                            <w:top w:val="none" w:sz="0" w:space="0" w:color="auto"/>
                            <w:left w:val="none" w:sz="0" w:space="0" w:color="auto"/>
                            <w:bottom w:val="none" w:sz="0" w:space="0" w:color="auto"/>
                            <w:right w:val="none" w:sz="0" w:space="0" w:color="auto"/>
                          </w:divBdr>
                          <w:divsChild>
                            <w:div w:id="4680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iadhealthproject.com/about-t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9</Pages>
  <Words>3306</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Hanes</dc:creator>
  <cp:keywords/>
  <dc:description/>
  <cp:lastModifiedBy>Chase Hanes</cp:lastModifiedBy>
  <cp:revision>3</cp:revision>
  <dcterms:created xsi:type="dcterms:W3CDTF">2018-02-18T18:50:00Z</dcterms:created>
  <dcterms:modified xsi:type="dcterms:W3CDTF">2018-02-19T00:10:00Z</dcterms:modified>
</cp:coreProperties>
</file>