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2752" w:rsidRDefault="00842752" w:rsidP="00842752">
      <w:pPr>
        <w:rPr>
          <w:rFonts w:ascii="Times New Roman" w:eastAsia="Times New Roman" w:hAnsi="Times New Roman" w:cs="Times New Roman"/>
        </w:rPr>
      </w:pPr>
      <w:r>
        <w:rPr>
          <w:rFonts w:ascii="Times New Roman" w:eastAsia="Times New Roman" w:hAnsi="Times New Roman" w:cs="Times New Roman"/>
        </w:rPr>
        <w:t>Chase Hanes</w:t>
      </w:r>
    </w:p>
    <w:p w:rsidR="00842752" w:rsidRDefault="00842752" w:rsidP="00842752">
      <w:pPr>
        <w:rPr>
          <w:rFonts w:ascii="Times New Roman" w:eastAsia="Times New Roman" w:hAnsi="Times New Roman" w:cs="Times New Roman"/>
        </w:rPr>
      </w:pPr>
      <w:r>
        <w:rPr>
          <w:rFonts w:ascii="Times New Roman" w:eastAsia="Times New Roman" w:hAnsi="Times New Roman" w:cs="Times New Roman"/>
        </w:rPr>
        <w:t>WGS 650</w:t>
      </w:r>
    </w:p>
    <w:p w:rsidR="00842752" w:rsidRDefault="00842752" w:rsidP="00842752">
      <w:pPr>
        <w:rPr>
          <w:rFonts w:ascii="Times New Roman" w:eastAsia="Times New Roman" w:hAnsi="Times New Roman" w:cs="Times New Roman"/>
        </w:rPr>
      </w:pPr>
      <w:r>
        <w:rPr>
          <w:rFonts w:ascii="Times New Roman" w:eastAsia="Times New Roman" w:hAnsi="Times New Roman" w:cs="Times New Roman"/>
        </w:rPr>
        <w:t>Reading Response 3</w:t>
      </w:r>
    </w:p>
    <w:p w:rsidR="00842752" w:rsidRDefault="00842752" w:rsidP="00842752">
      <w:pPr>
        <w:rPr>
          <w:rFonts w:ascii="Times New Roman" w:eastAsia="Times New Roman" w:hAnsi="Times New Roman" w:cs="Times New Roman"/>
        </w:rPr>
      </w:pPr>
    </w:p>
    <w:p w:rsidR="00C429FC" w:rsidRDefault="00DD523F" w:rsidP="00842752">
      <w:pPr>
        <w:spacing w:line="360" w:lineRule="auto"/>
        <w:ind w:firstLine="720"/>
        <w:rPr>
          <w:rFonts w:ascii="Times New Roman" w:eastAsia="Times New Roman" w:hAnsi="Times New Roman" w:cs="Times New Roman"/>
        </w:rPr>
      </w:pPr>
      <w:r>
        <w:rPr>
          <w:rFonts w:ascii="Times New Roman" w:eastAsia="Times New Roman" w:hAnsi="Times New Roman" w:cs="Times New Roman"/>
        </w:rPr>
        <w:t>A refusal to disappear—a persistent avoidance of fully assimilating into a dominant culture that necessitates the casing aside of traditional philosophies, governance, and customs—is at the heart of the Kahnawà:ke Mohawks that Audra Simpson describes in</w:t>
      </w:r>
      <w:r w:rsidR="009E4356">
        <w:rPr>
          <w:rFonts w:ascii="Times New Roman" w:eastAsia="Times New Roman" w:hAnsi="Times New Roman" w:cs="Times New Roman"/>
        </w:rPr>
        <w:t xml:space="preserve"> chapter one of</w:t>
      </w:r>
      <w:r>
        <w:rPr>
          <w:rFonts w:ascii="Times New Roman" w:eastAsia="Times New Roman" w:hAnsi="Times New Roman" w:cs="Times New Roman"/>
        </w:rPr>
        <w:t xml:space="preserve"> </w:t>
      </w:r>
      <w:r>
        <w:rPr>
          <w:rFonts w:ascii="Times New Roman" w:eastAsia="Times New Roman" w:hAnsi="Times New Roman" w:cs="Times New Roman"/>
          <w:i/>
        </w:rPr>
        <w:t>Mohawk Interruptus.</w:t>
      </w:r>
      <w:r>
        <w:rPr>
          <w:rFonts w:ascii="Times New Roman" w:eastAsia="Times New Roman" w:hAnsi="Times New Roman" w:cs="Times New Roman"/>
        </w:rPr>
        <w:t xml:space="preserve"> For the Kahnawà:ke people, conducting themselves collectively into a strong, independent sovereignty is extremely arduous because foreign governments, like Canada and America, interfere and try to impose regulations, even discerning rules of membership. The people of Kahnawà:ke have their own view of sovereignty and establishment of government, one that predates Canadian and American institutions. It is rooted in Iroquois ‘tradition’ with a structure that connects Haudenosaunee people with each other. Of the Kahnawa’kehró:non, Simpson states, “they are Indigenous nationals of a strangulated political order who do all they can to live a political life robustly, with dignity as Nationals” (3). The public envisions these people as ironworkers, but more importantly, they are laborers defending territory and the preservation of the self as it constitutes the Kahnawà:ke community. A main argument by Simpson is that Kahnawà:ke governance can exist “nested” within the powers of larger nations like Canada. She says, “</w:t>
      </w:r>
      <w:r w:rsidR="0060051B">
        <w:rPr>
          <w:rFonts w:ascii="Times New Roman" w:eastAsia="Times New Roman" w:hAnsi="Times New Roman" w:cs="Times New Roman"/>
        </w:rPr>
        <w:t>Sovereignty</w:t>
      </w:r>
      <w:r>
        <w:rPr>
          <w:rFonts w:ascii="Times New Roman" w:eastAsia="Times New Roman" w:hAnsi="Times New Roman" w:cs="Times New Roman"/>
        </w:rPr>
        <w:t xml:space="preserve"> may exist within sovereignty. One does not entirely negate the other, but they necessarily stand in terrific tension and pose serious jurisdictional and normative challenges to each other” (10). Thus, Kahnawa’kehró:non, amidst this tension, must construct an identity of themselves within their own government, but also outside of it.</w:t>
      </w:r>
    </w:p>
    <w:p w:rsidR="00C429FC" w:rsidRDefault="0060051B" w:rsidP="00842752">
      <w:pPr>
        <w:spacing w:line="360" w:lineRule="auto"/>
        <w:rPr>
          <w:rFonts w:ascii="Times New Roman" w:eastAsia="Times New Roman" w:hAnsi="Times New Roman" w:cs="Times New Roman"/>
        </w:rPr>
      </w:pPr>
      <w:r>
        <w:rPr>
          <w:rFonts w:ascii="Times New Roman" w:eastAsia="Times New Roman" w:hAnsi="Times New Roman" w:cs="Times New Roman"/>
        </w:rPr>
        <w:tab/>
        <w:t>Refusal is an integral way in which the Kahnawà:ke community form their own identity within their own government system. Some Mohawks, for example, refuse to accept Canadian passports or citizenship, motivated by their firm belief that their own government is valid. Having the Canadian government, a system that came later, legitimize Haudenosaunee sovereignty is insulting to the</w:t>
      </w:r>
      <w:r w:rsidR="00FD38C9">
        <w:rPr>
          <w:rFonts w:ascii="Times New Roman" w:eastAsia="Times New Roman" w:hAnsi="Times New Roman" w:cs="Times New Roman"/>
        </w:rPr>
        <w:t xml:space="preserve"> integrity of Mohawk governance: a Canadian stamp of approval on an Iroquois passport devalues the worth of the initial passport.</w:t>
      </w:r>
      <w:r>
        <w:rPr>
          <w:rFonts w:ascii="Times New Roman" w:eastAsia="Times New Roman" w:hAnsi="Times New Roman" w:cs="Times New Roman"/>
        </w:rPr>
        <w:t xml:space="preserve"> Even marriage practices and political engagements by this community are forms of resistance, proclamations that their sovereign practices and kinship ties to other native people are legitimate. They often refuse to assimilate to dominant culture—a culture that would still cast them as different, even as their customs and philosophies disappeared.</w:t>
      </w:r>
      <w:r w:rsidR="006807A3">
        <w:rPr>
          <w:rFonts w:ascii="Times New Roman" w:eastAsia="Times New Roman" w:hAnsi="Times New Roman" w:cs="Times New Roman"/>
        </w:rPr>
        <w:t xml:space="preserve"> Nevertheless, state regulations still encroach upon these people. The state, for example, dictates how a person must use the very allotments (land, money,</w:t>
      </w:r>
      <w:r w:rsidR="00FD38C9">
        <w:rPr>
          <w:rFonts w:ascii="Times New Roman" w:eastAsia="Times New Roman" w:hAnsi="Times New Roman" w:cs="Times New Roman"/>
        </w:rPr>
        <w:t xml:space="preserve"> citizenship</w:t>
      </w:r>
      <w:r w:rsidR="006807A3">
        <w:rPr>
          <w:rFonts w:ascii="Times New Roman" w:eastAsia="Times New Roman" w:hAnsi="Times New Roman" w:cs="Times New Roman"/>
        </w:rPr>
        <w:t xml:space="preserve"> etc.) it disguises as a gift.</w:t>
      </w:r>
      <w:r w:rsidR="00E9328B">
        <w:rPr>
          <w:rFonts w:ascii="Times New Roman" w:eastAsia="Times New Roman" w:hAnsi="Times New Roman" w:cs="Times New Roman"/>
        </w:rPr>
        <w:t xml:space="preserve"> Simpson problematizes recognition by dominant culture (settlers), specifically juridical recognition. “It is only performed,” she says, “…if the problem of cultural difference…does not pose too appalling a challenge to norms of the settler society, norms that are revealed largely through law” (20). Juridical recognition such as citizenship granting becomes a “political antidote to historical wrongdoing” (20).</w:t>
      </w:r>
      <w:r w:rsidR="00E9328B">
        <w:t xml:space="preserve"> </w:t>
      </w:r>
      <w:r w:rsidR="006807A3">
        <w:rPr>
          <w:rFonts w:ascii="Times New Roman" w:eastAsia="Times New Roman" w:hAnsi="Times New Roman" w:cs="Times New Roman"/>
        </w:rPr>
        <w:t>Simpson</w:t>
      </w:r>
      <w:r w:rsidR="00E9328B">
        <w:rPr>
          <w:rFonts w:ascii="Times New Roman" w:eastAsia="Times New Roman" w:hAnsi="Times New Roman" w:cs="Times New Roman"/>
        </w:rPr>
        <w:t xml:space="preserve"> further</w:t>
      </w:r>
      <w:r w:rsidR="006807A3">
        <w:rPr>
          <w:rFonts w:ascii="Times New Roman" w:eastAsia="Times New Roman" w:hAnsi="Times New Roman" w:cs="Times New Roman"/>
        </w:rPr>
        <w:t xml:space="preserve"> explains how these ‘gifts’ are given as a means for the government to exert control over the Kahnawà:ke community. By examining state actions, Simpson asserts that colonialism</w:t>
      </w:r>
      <w:r w:rsidR="00FD38C9">
        <w:rPr>
          <w:rFonts w:ascii="Times New Roman" w:eastAsia="Times New Roman" w:hAnsi="Times New Roman" w:cs="Times New Roman"/>
        </w:rPr>
        <w:t xml:space="preserve"> (sometimes disguised as a gift)</w:t>
      </w:r>
      <w:r w:rsidR="006807A3">
        <w:rPr>
          <w:rFonts w:ascii="Times New Roman" w:eastAsia="Times New Roman" w:hAnsi="Times New Roman" w:cs="Times New Roman"/>
        </w:rPr>
        <w:t xml:space="preserve"> is indeed not finished. </w:t>
      </w:r>
      <w:r w:rsidR="006807A3">
        <w:rPr>
          <w:rFonts w:ascii="Times New Roman" w:eastAsia="Times New Roman" w:hAnsi="Times New Roman" w:cs="Times New Roman"/>
        </w:rPr>
        <w:lastRenderedPageBreak/>
        <w:t>She critiques anthropology’s vantage point of seeing colonialism a</w:t>
      </w:r>
      <w:r w:rsidR="00FD38C9">
        <w:rPr>
          <w:rFonts w:ascii="Times New Roman" w:eastAsia="Times New Roman" w:hAnsi="Times New Roman" w:cs="Times New Roman"/>
        </w:rPr>
        <w:t xml:space="preserve">s settled, a thing of the past, </w:t>
      </w:r>
      <w:r w:rsidR="006807A3">
        <w:rPr>
          <w:rFonts w:ascii="Times New Roman" w:eastAsia="Times New Roman" w:hAnsi="Times New Roman" w:cs="Times New Roman"/>
        </w:rPr>
        <w:t>and instead se</w:t>
      </w:r>
      <w:r w:rsidR="00FD38C9">
        <w:rPr>
          <w:rFonts w:ascii="Times New Roman" w:eastAsia="Times New Roman" w:hAnsi="Times New Roman" w:cs="Times New Roman"/>
        </w:rPr>
        <w:t>es it herself as a machine that continually fails, but doesn’t stop. Colonialism tries to absorb these people, force them to give up their identities</w:t>
      </w:r>
      <w:r w:rsidR="00E9328B">
        <w:rPr>
          <w:rFonts w:ascii="Times New Roman" w:eastAsia="Times New Roman" w:hAnsi="Times New Roman" w:cs="Times New Roman"/>
        </w:rPr>
        <w:t>,</w:t>
      </w:r>
      <w:r w:rsidR="00FD38C9">
        <w:rPr>
          <w:rFonts w:ascii="Times New Roman" w:eastAsia="Times New Roman" w:hAnsi="Times New Roman" w:cs="Times New Roman"/>
        </w:rPr>
        <w:t xml:space="preserve"> and, basically, cease to exist.</w:t>
      </w:r>
      <w:r w:rsidR="006807A3">
        <w:rPr>
          <w:rFonts w:ascii="Times New Roman" w:eastAsia="Times New Roman" w:hAnsi="Times New Roman" w:cs="Times New Roman"/>
        </w:rPr>
        <w:t xml:space="preserve"> </w:t>
      </w:r>
      <w:r w:rsidR="00E9328B">
        <w:rPr>
          <w:rFonts w:ascii="Times New Roman" w:eastAsia="Times New Roman" w:hAnsi="Times New Roman" w:cs="Times New Roman"/>
        </w:rPr>
        <w:t>Still, she proclaims</w:t>
      </w:r>
      <w:r w:rsidR="00FD38C9">
        <w:rPr>
          <w:rFonts w:ascii="Times New Roman" w:eastAsia="Times New Roman" w:hAnsi="Times New Roman" w:cs="Times New Roman"/>
        </w:rPr>
        <w:t>, “Kahnawa’kehró:non are not settled; they are not done; they are not gone. They have not let go of themselves or their traditions, and they resist this requirement at ever</w:t>
      </w:r>
      <w:r w:rsidR="00E9328B">
        <w:rPr>
          <w:rFonts w:ascii="Times New Roman" w:eastAsia="Times New Roman" w:hAnsi="Times New Roman" w:cs="Times New Roman"/>
        </w:rPr>
        <w:t>y turn with their actions” (33). Ultimately, their refusals are power.</w:t>
      </w:r>
    </w:p>
    <w:p w:rsidR="00DD523F" w:rsidRDefault="00DD523F" w:rsidP="00842752">
      <w:pPr>
        <w:spacing w:line="360" w:lineRule="auto"/>
        <w:ind w:firstLine="720"/>
        <w:rPr>
          <w:rFonts w:ascii="Times New Roman" w:hAnsi="Times New Roman" w:cs="Times New Roman"/>
        </w:rPr>
      </w:pPr>
      <w:r>
        <w:rPr>
          <w:rFonts w:ascii="Times New Roman" w:hAnsi="Times New Roman" w:cs="Times New Roman"/>
        </w:rPr>
        <w:t xml:space="preserve">In Dylan Rodríguez’s “The Political Logic of the Non-Profit Industrial Complex,” radical movements of social change, more than ever, have to make an arduous journey to make a difference. In the article, </w:t>
      </w:r>
      <w:r w:rsidRPr="005C25B5">
        <w:rPr>
          <w:rFonts w:ascii="Times New Roman" w:hAnsi="Times New Roman" w:cs="Times New Roman"/>
        </w:rPr>
        <w:t>Rodríguez focuses on the non-profit industrial complex and how its ramifications relate to the prison industrial complex.</w:t>
      </w:r>
      <w:r>
        <w:rPr>
          <w:rFonts w:ascii="Times New Roman" w:hAnsi="Times New Roman" w:cs="Times New Roman"/>
        </w:rPr>
        <w:t xml:space="preserve"> </w:t>
      </w:r>
      <w:r w:rsidRPr="00C0648C">
        <w:rPr>
          <w:rFonts w:ascii="Times New Roman" w:hAnsi="Times New Roman" w:cs="Times New Roman"/>
        </w:rPr>
        <w:t xml:space="preserve">Rodriguez frames the text with a quote by political prisoner Mumia Abu-Jamal that states that Americans live in a “cavern of fear,” which he describes as a fear of collective, radical dissent that disrupts the complacency of citizens (21). </w:t>
      </w:r>
      <w:r w:rsidRPr="005C25B5">
        <w:rPr>
          <w:rFonts w:ascii="Times New Roman" w:hAnsi="Times New Roman" w:cs="Times New Roman"/>
        </w:rPr>
        <w:t xml:space="preserve">Rodríguez </w:t>
      </w:r>
      <w:r w:rsidRPr="00C0648C">
        <w:rPr>
          <w:rFonts w:ascii="Times New Roman" w:hAnsi="Times New Roman" w:cs="Times New Roman"/>
        </w:rPr>
        <w:t>argues that this fear predicates the rise in the non-profit movement, which, in turn, fuels the US prison industrial complex.</w:t>
      </w:r>
      <w:r>
        <w:rPr>
          <w:rFonts w:ascii="Times New Roman" w:hAnsi="Times New Roman" w:cs="Times New Roman"/>
        </w:rPr>
        <w:t xml:space="preserve"> He maps this by explaining how political dissent and calls for the expansion of freedoms unsettle white civil society. </w:t>
      </w:r>
      <w:r w:rsidRPr="00C0648C">
        <w:rPr>
          <w:rFonts w:ascii="Times New Roman" w:hAnsi="Times New Roman" w:cs="Times New Roman"/>
        </w:rPr>
        <w:t xml:space="preserve">White civil society built the sociocultural foundations of the US, so the possibility of new, radical freedom (democracy, civil rights, the vote, etc.) contests the very norms heralded and implemented by </w:t>
      </w:r>
      <w:r>
        <w:rPr>
          <w:rFonts w:ascii="Times New Roman" w:hAnsi="Times New Roman" w:cs="Times New Roman"/>
        </w:rPr>
        <w:t>it</w:t>
      </w:r>
      <w:r w:rsidRPr="00C0648C">
        <w:rPr>
          <w:rFonts w:ascii="Times New Roman" w:hAnsi="Times New Roman" w:cs="Times New Roman"/>
        </w:rPr>
        <w:t>. The existence of white civil society is threatened by radical freedoms; thus, it fears the collapse of the US sociocultural foundation.</w:t>
      </w:r>
      <w:r>
        <w:rPr>
          <w:rFonts w:ascii="Times New Roman" w:hAnsi="Times New Roman" w:cs="Times New Roman"/>
        </w:rPr>
        <w:t xml:space="preserve"> As</w:t>
      </w:r>
      <w:r w:rsidRPr="00BD30CC">
        <w:rPr>
          <w:rFonts w:ascii="Times New Roman" w:hAnsi="Times New Roman" w:cs="Times New Roman"/>
        </w:rPr>
        <w:t xml:space="preserve"> radical</w:t>
      </w:r>
      <w:r>
        <w:rPr>
          <w:rFonts w:ascii="Times New Roman" w:hAnsi="Times New Roman" w:cs="Times New Roman"/>
        </w:rPr>
        <w:t>, progressive</w:t>
      </w:r>
      <w:r w:rsidRPr="00BD30CC">
        <w:rPr>
          <w:rFonts w:ascii="Times New Roman" w:hAnsi="Times New Roman" w:cs="Times New Roman"/>
        </w:rPr>
        <w:t xml:space="preserve"> movements seek to </w:t>
      </w:r>
      <w:r>
        <w:rPr>
          <w:rFonts w:ascii="Times New Roman" w:hAnsi="Times New Roman" w:cs="Times New Roman"/>
        </w:rPr>
        <w:t>abolish the norms of owner society, they often collect into a non-profit, which promises a higher probability of implementing change. Nevertheless,</w:t>
      </w:r>
      <w:r w:rsidRPr="00BD30CC">
        <w:rPr>
          <w:rFonts w:ascii="Times New Roman" w:hAnsi="Times New Roman" w:cs="Times New Roman"/>
        </w:rPr>
        <w:t xml:space="preserve"> the white civil society defines the very boundaries of these campaigns through their control on the non-profit sector.</w:t>
      </w:r>
      <w:r>
        <w:rPr>
          <w:rFonts w:ascii="Times New Roman" w:hAnsi="Times New Roman" w:cs="Times New Roman"/>
        </w:rPr>
        <w:t xml:space="preserve"> As the number of non-profits have increased, </w:t>
      </w:r>
      <w:r w:rsidRPr="005C25B5">
        <w:rPr>
          <w:rFonts w:ascii="Times New Roman" w:hAnsi="Times New Roman" w:cs="Times New Roman"/>
        </w:rPr>
        <w:t>Rodríguez</w:t>
      </w:r>
      <w:r>
        <w:rPr>
          <w:rFonts w:ascii="Times New Roman" w:hAnsi="Times New Roman" w:cs="Times New Roman"/>
        </w:rPr>
        <w:t xml:space="preserve"> notes that there</w:t>
      </w:r>
      <w:r w:rsidRPr="00BD30CC">
        <w:rPr>
          <w:rFonts w:ascii="Times New Roman" w:hAnsi="Times New Roman" w:cs="Times New Roman"/>
        </w:rPr>
        <w:t xml:space="preserve"> has been an “explosion of private foundations as primary institutions through which to harness and restrict the potentials of US-based progressive activisms” (27). </w:t>
      </w:r>
      <w:r>
        <w:rPr>
          <w:rFonts w:ascii="Times New Roman" w:hAnsi="Times New Roman" w:cs="Times New Roman"/>
        </w:rPr>
        <w:t>Simply, n</w:t>
      </w:r>
      <w:r w:rsidRPr="00BD30CC">
        <w:rPr>
          <w:rFonts w:ascii="Times New Roman" w:hAnsi="Times New Roman" w:cs="Times New Roman"/>
        </w:rPr>
        <w:t>on-profits depend on funds</w:t>
      </w:r>
      <w:r>
        <w:rPr>
          <w:rFonts w:ascii="Times New Roman" w:hAnsi="Times New Roman" w:cs="Times New Roman"/>
        </w:rPr>
        <w:t>, but these funds come</w:t>
      </w:r>
      <w:r w:rsidRPr="00BD30CC">
        <w:rPr>
          <w:rFonts w:ascii="Times New Roman" w:hAnsi="Times New Roman" w:cs="Times New Roman"/>
        </w:rPr>
        <w:t xml:space="preserve"> from </w:t>
      </w:r>
      <w:r>
        <w:rPr>
          <w:rFonts w:ascii="Times New Roman" w:hAnsi="Times New Roman" w:cs="Times New Roman"/>
        </w:rPr>
        <w:t>places</w:t>
      </w:r>
      <w:r w:rsidRPr="00BD30CC">
        <w:rPr>
          <w:rFonts w:ascii="Times New Roman" w:hAnsi="Times New Roman" w:cs="Times New Roman"/>
        </w:rPr>
        <w:t xml:space="preserve"> defending white civil society. </w:t>
      </w:r>
      <w:r>
        <w:rPr>
          <w:rFonts w:ascii="Times New Roman" w:hAnsi="Times New Roman" w:cs="Times New Roman"/>
        </w:rPr>
        <w:t>Movements</w:t>
      </w:r>
      <w:r w:rsidRPr="00BD30CC">
        <w:rPr>
          <w:rFonts w:ascii="Times New Roman" w:hAnsi="Times New Roman" w:cs="Times New Roman"/>
        </w:rPr>
        <w:t xml:space="preserve"> can only get funds from hegemonic patro</w:t>
      </w:r>
      <w:r>
        <w:rPr>
          <w:rFonts w:ascii="Times New Roman" w:hAnsi="Times New Roman" w:cs="Times New Roman"/>
        </w:rPr>
        <w:t xml:space="preserve">nage; therefore, the patron regulates the dissent, extinguishing the passion of the resistance. </w:t>
      </w:r>
      <w:r w:rsidRPr="00275DD2">
        <w:rPr>
          <w:rFonts w:ascii="Times New Roman" w:hAnsi="Times New Roman" w:cs="Times New Roman"/>
        </w:rPr>
        <w:t>Non-profit liberal foundations curtail emerging political radicalism by turning movements into nonantagonistic social services.</w:t>
      </w:r>
    </w:p>
    <w:p w:rsidR="00682F65" w:rsidRDefault="00DD523F" w:rsidP="00842752">
      <w:pPr>
        <w:spacing w:line="360" w:lineRule="auto"/>
        <w:rPr>
          <w:rFonts w:ascii="Times New Roman" w:hAnsi="Times New Roman" w:cs="Times New Roman"/>
        </w:rPr>
      </w:pPr>
      <w:r>
        <w:rPr>
          <w:rFonts w:ascii="Times New Roman" w:hAnsi="Times New Roman" w:cs="Times New Roman"/>
        </w:rPr>
        <w:tab/>
        <w:t xml:space="preserve">As white civil society preserves itself by facilitating dissent in the non-profit sphere, the state also asserts its power. </w:t>
      </w:r>
      <w:r w:rsidRPr="00275DD2">
        <w:rPr>
          <w:rFonts w:ascii="Times New Roman" w:hAnsi="Times New Roman" w:cs="Times New Roman"/>
        </w:rPr>
        <w:t xml:space="preserve">The state ensures its </w:t>
      </w:r>
      <w:r>
        <w:rPr>
          <w:rFonts w:ascii="Times New Roman" w:hAnsi="Times New Roman" w:cs="Times New Roman"/>
        </w:rPr>
        <w:t>domain</w:t>
      </w:r>
      <w:r w:rsidRPr="00275DD2">
        <w:rPr>
          <w:rFonts w:ascii="Times New Roman" w:hAnsi="Times New Roman" w:cs="Times New Roman"/>
        </w:rPr>
        <w:t xml:space="preserve"> through pro-police discourses and the criminalization of the political practices often used by those who dissent. There is even the bureaucratization of aspiring social movements that places activists in</w:t>
      </w:r>
      <w:r>
        <w:rPr>
          <w:rFonts w:ascii="Times New Roman" w:hAnsi="Times New Roman" w:cs="Times New Roman"/>
        </w:rPr>
        <w:t xml:space="preserve">to “hierarchical rituals” (26) </w:t>
      </w:r>
      <w:r w:rsidRPr="00275DD2">
        <w:rPr>
          <w:rFonts w:ascii="Times New Roman" w:hAnsi="Times New Roman" w:cs="Times New Roman"/>
        </w:rPr>
        <w:t>that on the surface, appear to make the movement appear more professional, but only end up hind</w:t>
      </w:r>
      <w:r>
        <w:rPr>
          <w:rFonts w:ascii="Times New Roman" w:hAnsi="Times New Roman" w:cs="Times New Roman"/>
        </w:rPr>
        <w:t>ering its success. Essentially, t</w:t>
      </w:r>
      <w:r w:rsidRPr="00275DD2">
        <w:rPr>
          <w:rFonts w:ascii="Times New Roman" w:hAnsi="Times New Roman" w:cs="Times New Roman"/>
        </w:rPr>
        <w:t>he state funnels political resistance into non-profit sectors, which end up imitating business ventures—all in the hopes of eschewing the threat of radical dissent.</w:t>
      </w:r>
      <w:r>
        <w:rPr>
          <w:rFonts w:ascii="Times New Roman" w:hAnsi="Times New Roman" w:cs="Times New Roman"/>
        </w:rPr>
        <w:t xml:space="preserve"> The state reveals itself as punitive, condemning, and ready to give punishment to those who disrupt order. </w:t>
      </w:r>
      <w:r w:rsidRPr="005C25B5">
        <w:rPr>
          <w:rFonts w:ascii="Times New Roman" w:hAnsi="Times New Roman" w:cs="Times New Roman"/>
        </w:rPr>
        <w:t xml:space="preserve">Rodríguez </w:t>
      </w:r>
      <w:r>
        <w:rPr>
          <w:rFonts w:ascii="Times New Roman" w:hAnsi="Times New Roman" w:cs="Times New Roman"/>
        </w:rPr>
        <w:t xml:space="preserve"> explains that t</w:t>
      </w:r>
      <w:r w:rsidRPr="00A847BE">
        <w:rPr>
          <w:rFonts w:ascii="Times New Roman" w:hAnsi="Times New Roman" w:cs="Times New Roman"/>
        </w:rPr>
        <w:t>his “‘law and order’ state has built this popular consensus in part through a symbiosis with the non-profit liberal foundation structure, which, in turn, has helped collapse various sites of potential political radicalism into nonantagonistic social service and pro-sta</w:t>
      </w:r>
      <w:r>
        <w:rPr>
          <w:rFonts w:ascii="Times New Roman" w:hAnsi="Times New Roman" w:cs="Times New Roman"/>
        </w:rPr>
        <w:t xml:space="preserve">te reformist initiatives” (26). </w:t>
      </w:r>
      <w:r w:rsidRPr="00A847BE">
        <w:rPr>
          <w:rFonts w:ascii="Times New Roman" w:hAnsi="Times New Roman" w:cs="Times New Roman"/>
        </w:rPr>
        <w:t>The ‘law and order’ state, with its pun</w:t>
      </w:r>
      <w:r>
        <w:rPr>
          <w:rFonts w:ascii="Times New Roman" w:hAnsi="Times New Roman" w:cs="Times New Roman"/>
        </w:rPr>
        <w:t xml:space="preserve">itive, racist criminal justice </w:t>
      </w:r>
      <w:r w:rsidRPr="00A847BE">
        <w:rPr>
          <w:rFonts w:ascii="Times New Roman" w:hAnsi="Times New Roman" w:cs="Times New Roman"/>
        </w:rPr>
        <w:t xml:space="preserve">becomes a norm, an everyday, American way </w:t>
      </w:r>
      <w:r w:rsidRPr="00A847BE">
        <w:rPr>
          <w:rFonts w:ascii="Times New Roman" w:hAnsi="Times New Roman" w:cs="Times New Roman"/>
        </w:rPr>
        <w:lastRenderedPageBreak/>
        <w:t>of life.</w:t>
      </w:r>
      <w:r>
        <w:rPr>
          <w:rFonts w:ascii="Times New Roman" w:hAnsi="Times New Roman" w:cs="Times New Roman"/>
        </w:rPr>
        <w:t xml:space="preserve"> Blocked in having their voices heard, political dissenters can only head to the non-profit sphere and hope to induce social change in tampered, less active means. Even much of the Left aligns with the “political logic of civil society—specifically, the inherent legitimacy of racist state violence in upholding a white freedom…and ‘law and order’ that…is symbiotic with (and not oppositional to) the policing and incarceration of marginalized, racially pathologized communities” (22-23). Overall, </w:t>
      </w:r>
      <w:r w:rsidRPr="005C25B5">
        <w:rPr>
          <w:rFonts w:ascii="Times New Roman" w:hAnsi="Times New Roman" w:cs="Times New Roman"/>
        </w:rPr>
        <w:t>Rodríguez</w:t>
      </w:r>
      <w:r>
        <w:rPr>
          <w:rFonts w:ascii="Times New Roman" w:hAnsi="Times New Roman" w:cs="Times New Roman"/>
        </w:rPr>
        <w:t xml:space="preserve"> wants to comprehend the NPIC “as the institutionalization of a relation of dominance” (39) and reveal its bonds with a white supremacist society and a punitive, racist state, each intent on silencing t</w:t>
      </w:r>
      <w:r w:rsidR="00682F65">
        <w:rPr>
          <w:rFonts w:ascii="Times New Roman" w:hAnsi="Times New Roman" w:cs="Times New Roman"/>
        </w:rPr>
        <w:t>hose who resist their hegemony.</w:t>
      </w:r>
    </w:p>
    <w:p w:rsidR="00BF11E4" w:rsidRDefault="00BF11E4" w:rsidP="00BF11E4">
      <w:pPr>
        <w:spacing w:line="360" w:lineRule="auto"/>
        <w:jc w:val="center"/>
        <w:rPr>
          <w:rFonts w:ascii="Times New Roman" w:hAnsi="Times New Roman" w:cs="Times New Roman"/>
        </w:rPr>
      </w:pPr>
      <w:r>
        <w:rPr>
          <w:rFonts w:ascii="Times New Roman" w:hAnsi="Times New Roman" w:cs="Times New Roman"/>
        </w:rPr>
        <w:t>***</w:t>
      </w:r>
    </w:p>
    <w:p w:rsidR="00C31DB7" w:rsidRDefault="00682F65" w:rsidP="00842752">
      <w:pPr>
        <w:spacing w:line="360" w:lineRule="auto"/>
        <w:rPr>
          <w:rFonts w:ascii="Times New Roman" w:hAnsi="Times New Roman" w:cs="Times New Roman"/>
        </w:rPr>
      </w:pPr>
      <w:r>
        <w:rPr>
          <w:rFonts w:ascii="Times New Roman" w:hAnsi="Times New Roman" w:cs="Times New Roman"/>
        </w:rPr>
        <w:tab/>
        <w:t>Something that I truly cherish about Women’s and Gender Studies is its validation of personal, lived experience. Speaking about one’s own story has merit and WGS scholarship doesn’t disregard it. As I was reading Elora Halim Chowdhury’s poignant article, I was actually able to find some correlation between the recovery of the acid burn victims like Rina and Bina and an experience that I lived th</w:t>
      </w:r>
      <w:r w:rsidR="009304BB">
        <w:rPr>
          <w:rFonts w:ascii="Times New Roman" w:hAnsi="Times New Roman" w:cs="Times New Roman"/>
        </w:rPr>
        <w:t>rough a few years ago. The “Meet Naripokkho” session described as the first part of the campaign</w:t>
      </w:r>
      <w:r w:rsidR="00653137">
        <w:rPr>
          <w:rFonts w:ascii="Times New Roman" w:hAnsi="Times New Roman" w:cs="Times New Roman"/>
        </w:rPr>
        <w:t xml:space="preserve"> (before patriarchal organizations interfered without acknowledging local context)</w:t>
      </w:r>
      <w:r w:rsidR="009304BB">
        <w:rPr>
          <w:rFonts w:ascii="Times New Roman" w:hAnsi="Times New Roman" w:cs="Times New Roman"/>
        </w:rPr>
        <w:t xml:space="preserve"> made me reminisce on a hospitalization treatment that I had for Anorexia. Immediately, I am hesitant to draw connections between something like an Eating Disorder and the horrific act of acid-throwing. These are two very distinct subjects: one is a mental health disease and one is a gendered act of violence. I know </w:t>
      </w:r>
      <w:r w:rsidR="00075087">
        <w:rPr>
          <w:rFonts w:ascii="Times New Roman" w:hAnsi="Times New Roman" w:cs="Times New Roman"/>
        </w:rPr>
        <w:t>that the Eating Disorder sphere has a certain amount of privilege with it too. Treatment is available, more so than what Chowdhury described as what is available for burn victims. Eating Disorders carry a stigma, especially for boys, but the stigmatization is not comparable to that experienced by the young women with burnt skin, altered bodies, and severe boundaries on their economic and social progress. Comparing these subjects is problematic, but I do think that it is acceptable for me to find correlation in the</w:t>
      </w:r>
      <w:r w:rsidR="00C92ED3">
        <w:rPr>
          <w:rFonts w:ascii="Times New Roman" w:hAnsi="Times New Roman" w:cs="Times New Roman"/>
        </w:rPr>
        <w:t>ir</w:t>
      </w:r>
      <w:r w:rsidR="00075087">
        <w:rPr>
          <w:rFonts w:ascii="Times New Roman" w:hAnsi="Times New Roman" w:cs="Times New Roman"/>
        </w:rPr>
        <w:t xml:space="preserve"> treatment process</w:t>
      </w:r>
      <w:r w:rsidR="00C92ED3">
        <w:rPr>
          <w:rFonts w:ascii="Times New Roman" w:hAnsi="Times New Roman" w:cs="Times New Roman"/>
        </w:rPr>
        <w:t>es</w:t>
      </w:r>
      <w:r w:rsidR="00075087">
        <w:rPr>
          <w:rFonts w:ascii="Times New Roman" w:hAnsi="Times New Roman" w:cs="Times New Roman"/>
        </w:rPr>
        <w:t xml:space="preserve">. </w:t>
      </w:r>
      <w:r w:rsidR="00C92ED3">
        <w:rPr>
          <w:rFonts w:ascii="Times New Roman" w:hAnsi="Times New Roman" w:cs="Times New Roman"/>
        </w:rPr>
        <w:t>One of the most powerful parts of Chowdhury’s article</w:t>
      </w:r>
      <w:r w:rsidR="000C4747">
        <w:rPr>
          <w:rFonts w:ascii="Times New Roman" w:hAnsi="Times New Roman" w:cs="Times New Roman"/>
        </w:rPr>
        <w:t xml:space="preserve"> is her description of Naripokkho taking the girls to Shongshod Bhaban, a public place with many people. Chowdhury states, </w:t>
      </w:r>
      <w:r w:rsidR="00075087">
        <w:rPr>
          <w:rFonts w:ascii="Times New Roman" w:hAnsi="Times New Roman" w:cs="Times New Roman"/>
        </w:rPr>
        <w:t>“Naripokkho activists believed in reclaiming the public space and social lives of the young girls that the gendered abuse had so methodically denied” (34).</w:t>
      </w:r>
      <w:r w:rsidR="000C4747">
        <w:rPr>
          <w:rFonts w:ascii="Times New Roman" w:hAnsi="Times New Roman" w:cs="Times New Roman"/>
        </w:rPr>
        <w:t xml:space="preserve"> For these young women whose appearance was greatly altered, being seen in public was a major challenge. However, in Naripokkho’s exercise, the public eventually came to accept the girls, even playing games with them at a</w:t>
      </w:r>
      <w:r w:rsidR="00A93EC2">
        <w:rPr>
          <w:rFonts w:ascii="Times New Roman" w:hAnsi="Times New Roman" w:cs="Times New Roman"/>
        </w:rPr>
        <w:t>nother instance. The girls’</w:t>
      </w:r>
      <w:r w:rsidR="000C4747">
        <w:rPr>
          <w:rFonts w:ascii="Times New Roman" w:hAnsi="Times New Roman" w:cs="Times New Roman"/>
        </w:rPr>
        <w:t xml:space="preserve"> </w:t>
      </w:r>
      <w:r w:rsidR="00C31DB7">
        <w:rPr>
          <w:rFonts w:ascii="Times New Roman" w:hAnsi="Times New Roman" w:cs="Times New Roman"/>
        </w:rPr>
        <w:t>escape</w:t>
      </w:r>
      <w:r w:rsidR="000C4747">
        <w:rPr>
          <w:rFonts w:ascii="Times New Roman" w:hAnsi="Times New Roman" w:cs="Times New Roman"/>
        </w:rPr>
        <w:t xml:space="preserve"> of self-isolation</w:t>
      </w:r>
      <w:r w:rsidR="00C31DB7">
        <w:rPr>
          <w:rFonts w:ascii="Times New Roman" w:hAnsi="Times New Roman" w:cs="Times New Roman"/>
        </w:rPr>
        <w:t xml:space="preserve"> (especially the isolation society itself imposed on them)</w:t>
      </w:r>
      <w:r w:rsidR="000C4747">
        <w:rPr>
          <w:rFonts w:ascii="Times New Roman" w:hAnsi="Times New Roman" w:cs="Times New Roman"/>
        </w:rPr>
        <w:t xml:space="preserve"> is very powerful</w:t>
      </w:r>
      <w:r w:rsidR="00C31DB7">
        <w:rPr>
          <w:rFonts w:ascii="Times New Roman" w:hAnsi="Times New Roman" w:cs="Times New Roman"/>
        </w:rPr>
        <w:t>. Specifically, i</w:t>
      </w:r>
      <w:r w:rsidR="000C4747">
        <w:rPr>
          <w:rFonts w:ascii="Times New Roman" w:hAnsi="Times New Roman" w:cs="Times New Roman"/>
        </w:rPr>
        <w:t xml:space="preserve">t made me remember the ‘field trips’ that recreational therapists would take patients on in the Eating Disorder Ward. Once patients got to a stable weight, we would move to partial hospitalization </w:t>
      </w:r>
      <w:r w:rsidR="00A93EC2">
        <w:rPr>
          <w:rFonts w:ascii="Times New Roman" w:hAnsi="Times New Roman" w:cs="Times New Roman"/>
        </w:rPr>
        <w:t>during the day, and every Thursday, we would go on some public outing. Many of us had experienced the long in-patient process together and had helped each other come to terms with our own very altered bodies. In this case, our bodies weren’t altered by burn mark</w:t>
      </w:r>
      <w:r w:rsidR="004220A1">
        <w:rPr>
          <w:rFonts w:ascii="Times New Roman" w:hAnsi="Times New Roman" w:cs="Times New Roman"/>
        </w:rPr>
        <w:t>s and our sight/hearing wasn’t impaired, but the bodies we did inhabit</w:t>
      </w:r>
      <w:r w:rsidR="00A93EC2">
        <w:rPr>
          <w:rFonts w:ascii="Times New Roman" w:hAnsi="Times New Roman" w:cs="Times New Roman"/>
        </w:rPr>
        <w:t xml:space="preserve"> were noticeably larger and healthier</w:t>
      </w:r>
      <w:r w:rsidR="004220A1">
        <w:rPr>
          <w:rFonts w:ascii="Times New Roman" w:hAnsi="Times New Roman" w:cs="Times New Roman"/>
        </w:rPr>
        <w:t xml:space="preserve"> after weeks of re-feeding</w:t>
      </w:r>
      <w:r w:rsidR="00A93EC2">
        <w:rPr>
          <w:rFonts w:ascii="Times New Roman" w:hAnsi="Times New Roman" w:cs="Times New Roman"/>
        </w:rPr>
        <w:t>. Because of the disease, we weren’t happy about ou</w:t>
      </w:r>
      <w:r w:rsidR="004220A1">
        <w:rPr>
          <w:rFonts w:ascii="Times New Roman" w:hAnsi="Times New Roman" w:cs="Times New Roman"/>
        </w:rPr>
        <w:t>r</w:t>
      </w:r>
      <w:r w:rsidR="00A93EC2">
        <w:rPr>
          <w:rFonts w:ascii="Times New Roman" w:hAnsi="Times New Roman" w:cs="Times New Roman"/>
        </w:rPr>
        <w:t xml:space="preserve"> </w:t>
      </w:r>
      <w:r w:rsidR="004220A1">
        <w:rPr>
          <w:rFonts w:ascii="Times New Roman" w:hAnsi="Times New Roman" w:cs="Times New Roman"/>
        </w:rPr>
        <w:t>new bodi</w:t>
      </w:r>
      <w:r w:rsidR="006A48F5">
        <w:rPr>
          <w:rFonts w:ascii="Times New Roman" w:hAnsi="Times New Roman" w:cs="Times New Roman"/>
        </w:rPr>
        <w:t>es and increased weight, though. Our isolation was self-imposed and</w:t>
      </w:r>
      <w:r w:rsidR="004220A1">
        <w:rPr>
          <w:rFonts w:ascii="Times New Roman" w:hAnsi="Times New Roman" w:cs="Times New Roman"/>
        </w:rPr>
        <w:t xml:space="preserve"> we wanted to hide from the world. In cases of Eating Disorders and acid burning </w:t>
      </w:r>
      <w:r w:rsidR="004220A1">
        <w:rPr>
          <w:rFonts w:ascii="Times New Roman" w:hAnsi="Times New Roman" w:cs="Times New Roman"/>
        </w:rPr>
        <w:lastRenderedPageBreak/>
        <w:t>violence, the desire to hide oneself through the recovery process is very different (and probably much more severe amongst burn survivors)</w:t>
      </w:r>
      <w:r w:rsidR="00C31DB7">
        <w:rPr>
          <w:rFonts w:ascii="Times New Roman" w:hAnsi="Times New Roman" w:cs="Times New Roman"/>
        </w:rPr>
        <w:t>, but Naripokkho’s insistence on helping the girls return to the public sphere is similar to the treatment that eases Eating Disorder patients out into the world after weeks/months of hospitalization.</w:t>
      </w:r>
    </w:p>
    <w:p w:rsidR="00FF3799" w:rsidRDefault="00C31DB7" w:rsidP="00842752">
      <w:pPr>
        <w:spacing w:line="360" w:lineRule="auto"/>
        <w:rPr>
          <w:rFonts w:ascii="Times New Roman" w:hAnsi="Times New Roman" w:cs="Times New Roman"/>
        </w:rPr>
      </w:pPr>
      <w:r>
        <w:rPr>
          <w:rFonts w:ascii="Times New Roman" w:hAnsi="Times New Roman" w:cs="Times New Roman"/>
        </w:rPr>
        <w:tab/>
        <w:t>As the burn victims claimed identity and self-hood in Shongshod Bhaban, I was reminded of how therapists took eleven of us in recovery to a public restaurant for the first time after eating on the hospital ward for several weeks. My best friend Molly</w:t>
      </w:r>
      <w:r w:rsidR="00D06361">
        <w:rPr>
          <w:rFonts w:ascii="Times New Roman" w:hAnsi="Times New Roman" w:cs="Times New Roman"/>
        </w:rPr>
        <w:t xml:space="preserve"> and I</w:t>
      </w:r>
      <w:r>
        <w:rPr>
          <w:rFonts w:ascii="Times New Roman" w:hAnsi="Times New Roman" w:cs="Times New Roman"/>
        </w:rPr>
        <w:t xml:space="preserve"> may have fought against the doctors in the middle of the restaurant over the milk shake they wanted </w:t>
      </w:r>
      <w:r w:rsidR="00D06361">
        <w:rPr>
          <w:rFonts w:ascii="Times New Roman" w:hAnsi="Times New Roman" w:cs="Times New Roman"/>
        </w:rPr>
        <w:t>us</w:t>
      </w:r>
      <w:r>
        <w:rPr>
          <w:rFonts w:ascii="Times New Roman" w:hAnsi="Times New Roman" w:cs="Times New Roman"/>
        </w:rPr>
        <w:t xml:space="preserve"> to consume, but</w:t>
      </w:r>
      <w:r w:rsidR="00D06361">
        <w:rPr>
          <w:rFonts w:ascii="Times New Roman" w:hAnsi="Times New Roman" w:cs="Times New Roman"/>
        </w:rPr>
        <w:t>, eventually,</w:t>
      </w:r>
      <w:r>
        <w:rPr>
          <w:rFonts w:ascii="Times New Roman" w:hAnsi="Times New Roman" w:cs="Times New Roman"/>
        </w:rPr>
        <w:t xml:space="preserve"> we all ended up </w:t>
      </w:r>
      <w:r w:rsidR="00D06361">
        <w:rPr>
          <w:rFonts w:ascii="Times New Roman" w:hAnsi="Times New Roman" w:cs="Times New Roman"/>
        </w:rPr>
        <w:t>feeling more comfortable with being in a public place with our new bodies. The idea of ‘being seen’ became less scary and it was a small step in becoming more comfortable with connecting back to the embodied self. For victims of acid burning in countries like Bangladesh, I commend their ascent into the public sphere even more. This is because women’s ascent into the public sphere is one of the string of factors that can cause an acid burning event. Chowdhury notes that, historically, as women of Bangladesh gained domestic agency and integrated into the public and economic spheres, they disrupted man’s ideal of womanhood. Thus, women with power to</w:t>
      </w:r>
      <w:r w:rsidR="00653137">
        <w:rPr>
          <w:rFonts w:ascii="Times New Roman" w:hAnsi="Times New Roman" w:cs="Times New Roman"/>
        </w:rPr>
        <w:t xml:space="preserve"> have a public identity, who confidently refuse suitors, and who assert their own self-identity are often the very victims of acid throwing. Naripokkho’s insistence on the girls’ return to public places helped the girls believe that their new bodies </w:t>
      </w:r>
      <w:r w:rsidR="006A48F5">
        <w:rPr>
          <w:rFonts w:ascii="Times New Roman" w:hAnsi="Times New Roman" w:cs="Times New Roman"/>
        </w:rPr>
        <w:t>could</w:t>
      </w:r>
      <w:r w:rsidR="00653137">
        <w:rPr>
          <w:rFonts w:ascii="Times New Roman" w:hAnsi="Times New Roman" w:cs="Times New Roman"/>
        </w:rPr>
        <w:t xml:space="preserve"> be accepted into society, but it also forced them t</w:t>
      </w:r>
      <w:r w:rsidR="006A48F5">
        <w:rPr>
          <w:rFonts w:ascii="Times New Roman" w:hAnsi="Times New Roman" w:cs="Times New Roman"/>
        </w:rPr>
        <w:t xml:space="preserve">o reclaim a power they once had. This power of being a public presence must have seemed dangerous, because asserting the power to be public and disrupt men’s domestic ideal is fundamental in men throwing acid in the first place. Naripokkho helped the girls reclaim power—a dangerous one—but the girls had to be brave to accept it. I admire this bravery and think Eating Disorder patients struggling with being seen after re-feeding can receive a lot of inspiration from the girls in Naripokkho that went from victims, to survivors, to activists. </w:t>
      </w:r>
    </w:p>
    <w:p w:rsidR="00842752" w:rsidRDefault="00842752" w:rsidP="00842752">
      <w:pPr>
        <w:spacing w:line="360" w:lineRule="auto"/>
        <w:rPr>
          <w:rFonts w:ascii="Times New Roman" w:hAnsi="Times New Roman" w:cs="Times New Roman"/>
        </w:rPr>
      </w:pPr>
    </w:p>
    <w:p w:rsidR="00842752" w:rsidRDefault="00842752" w:rsidP="00842752">
      <w:pPr>
        <w:spacing w:line="360" w:lineRule="auto"/>
        <w:jc w:val="center"/>
        <w:rPr>
          <w:rFonts w:ascii="Times New Roman" w:hAnsi="Times New Roman" w:cs="Times New Roman"/>
        </w:rPr>
      </w:pPr>
      <w:r>
        <w:rPr>
          <w:rFonts w:ascii="Times New Roman" w:hAnsi="Times New Roman" w:cs="Times New Roman"/>
        </w:rPr>
        <w:t>Works Cited</w:t>
      </w:r>
    </w:p>
    <w:p w:rsidR="00842752" w:rsidRDefault="00842752" w:rsidP="00842752">
      <w:pPr>
        <w:spacing w:line="360" w:lineRule="auto"/>
        <w:jc w:val="center"/>
        <w:rPr>
          <w:rFonts w:ascii="Times New Roman" w:hAnsi="Times New Roman" w:cs="Times New Roman"/>
        </w:rPr>
      </w:pPr>
    </w:p>
    <w:p w:rsidR="00842752" w:rsidRDefault="00842752" w:rsidP="00C5673B">
      <w:pPr>
        <w:spacing w:line="360" w:lineRule="auto"/>
        <w:ind w:left="720" w:hanging="720"/>
        <w:rPr>
          <w:rFonts w:ascii="Times New Roman" w:hAnsi="Times New Roman" w:cs="Times New Roman"/>
        </w:rPr>
      </w:pPr>
      <w:r>
        <w:rPr>
          <w:rFonts w:ascii="Times New Roman" w:hAnsi="Times New Roman" w:cs="Times New Roman"/>
        </w:rPr>
        <w:t xml:space="preserve">Chowdhury, Elora Halim. “Feminist Negotiations: Contesting Narratives of the Campaign Against Acid Violence in Bangladesh.” From </w:t>
      </w:r>
      <w:r>
        <w:rPr>
          <w:rFonts w:ascii="Times New Roman" w:hAnsi="Times New Roman" w:cs="Times New Roman"/>
          <w:u w:val="single"/>
        </w:rPr>
        <w:t xml:space="preserve">Transnationalism Reversed: Women Organizing Against Gendered Violence in Bangladesh. </w:t>
      </w:r>
      <w:r>
        <w:rPr>
          <w:rFonts w:ascii="Times New Roman" w:hAnsi="Times New Roman" w:cs="Times New Roman"/>
        </w:rPr>
        <w:t>SUNY Press, 2011.</w:t>
      </w:r>
      <w:bookmarkStart w:id="0" w:name="_GoBack"/>
      <w:bookmarkEnd w:id="0"/>
    </w:p>
    <w:p w:rsidR="00842752" w:rsidRDefault="00842752" w:rsidP="00842752">
      <w:pPr>
        <w:spacing w:line="360" w:lineRule="auto"/>
        <w:ind w:left="720" w:hanging="720"/>
        <w:rPr>
          <w:rFonts w:ascii="Times New Roman" w:hAnsi="Times New Roman" w:cs="Times New Roman"/>
        </w:rPr>
      </w:pPr>
      <w:r w:rsidRPr="005C25B5">
        <w:rPr>
          <w:rFonts w:ascii="Times New Roman" w:hAnsi="Times New Roman" w:cs="Times New Roman"/>
        </w:rPr>
        <w:t>Rodríguez</w:t>
      </w:r>
      <w:r>
        <w:rPr>
          <w:rFonts w:ascii="Times New Roman" w:hAnsi="Times New Roman" w:cs="Times New Roman"/>
        </w:rPr>
        <w:t xml:space="preserve">, Dylan. “The Political Logic of the Non-Profit Industrial Complex.” From </w:t>
      </w:r>
      <w:r>
        <w:rPr>
          <w:rFonts w:ascii="Times New Roman" w:hAnsi="Times New Roman" w:cs="Times New Roman"/>
          <w:u w:val="single"/>
        </w:rPr>
        <w:t xml:space="preserve">The Revolution Will Not Be Funded: Beyond the Non-Profit Industrial Complex. </w:t>
      </w:r>
      <w:r>
        <w:rPr>
          <w:rFonts w:ascii="Times New Roman" w:hAnsi="Times New Roman" w:cs="Times New Roman"/>
        </w:rPr>
        <w:t>Ed. INCITE! Women of Color Against Violence. Cambridge, MA: South End Press, 2007.</w:t>
      </w:r>
    </w:p>
    <w:p w:rsidR="00842752" w:rsidRDefault="00842752" w:rsidP="00842752">
      <w:pPr>
        <w:spacing w:line="360" w:lineRule="auto"/>
        <w:ind w:left="720" w:hanging="720"/>
        <w:rPr>
          <w:rFonts w:ascii="Times New Roman" w:hAnsi="Times New Roman" w:cs="Times New Roman"/>
        </w:rPr>
      </w:pPr>
      <w:r>
        <w:rPr>
          <w:rFonts w:ascii="Times New Roman" w:hAnsi="Times New Roman" w:cs="Times New Roman"/>
        </w:rPr>
        <w:t xml:space="preserve"> Simpson, Audra. “Indigenous Interruptions: Mohawk Nationhood, Citizenship, and the State.” From </w:t>
      </w:r>
      <w:r>
        <w:rPr>
          <w:rFonts w:ascii="Times New Roman" w:hAnsi="Times New Roman" w:cs="Times New Roman"/>
          <w:u w:val="single"/>
        </w:rPr>
        <w:t xml:space="preserve">Mohawk Interruptus: Political Life Across the Borders of Settler States. </w:t>
      </w:r>
      <w:r>
        <w:rPr>
          <w:rFonts w:ascii="Times New Roman" w:hAnsi="Times New Roman" w:cs="Times New Roman"/>
        </w:rPr>
        <w:t>Durham and London: Duke University Press, 2014.</w:t>
      </w:r>
    </w:p>
    <w:p w:rsidR="00DD523F" w:rsidRDefault="00DD523F">
      <w:pPr>
        <w:rPr>
          <w:rFonts w:ascii="Times New Roman" w:eastAsia="Times New Roman" w:hAnsi="Times New Roman" w:cs="Times New Roman"/>
        </w:rPr>
      </w:pPr>
    </w:p>
    <w:p w:rsidR="00E9328B" w:rsidRDefault="00E9328B">
      <w:r>
        <w:rPr>
          <w:rFonts w:ascii="Times New Roman" w:eastAsia="Times New Roman" w:hAnsi="Times New Roman" w:cs="Times New Roman"/>
        </w:rPr>
        <w:tab/>
      </w:r>
    </w:p>
    <w:sectPr w:rsidR="00E9328B" w:rsidSect="00842752">
      <w:headerReference w:type="default" r:id="rId7"/>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B6B" w:rsidRDefault="000E5B6B" w:rsidP="00C5673B">
      <w:pPr>
        <w:spacing w:line="240" w:lineRule="auto"/>
      </w:pPr>
      <w:r>
        <w:separator/>
      </w:r>
    </w:p>
  </w:endnote>
  <w:endnote w:type="continuationSeparator" w:id="0">
    <w:p w:rsidR="000E5B6B" w:rsidRDefault="000E5B6B" w:rsidP="00C56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B6B" w:rsidRDefault="000E5B6B" w:rsidP="00C5673B">
      <w:pPr>
        <w:spacing w:line="240" w:lineRule="auto"/>
      </w:pPr>
      <w:r>
        <w:separator/>
      </w:r>
    </w:p>
  </w:footnote>
  <w:footnote w:type="continuationSeparator" w:id="0">
    <w:p w:rsidR="000E5B6B" w:rsidRDefault="000E5B6B" w:rsidP="00C567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48190"/>
      <w:docPartObj>
        <w:docPartGallery w:val="Page Numbers (Top of Page)"/>
        <w:docPartUnique/>
      </w:docPartObj>
    </w:sdtPr>
    <w:sdtEndPr>
      <w:rPr>
        <w:rFonts w:ascii="Times New Roman" w:hAnsi="Times New Roman" w:cs="Times New Roman"/>
        <w:noProof/>
        <w:sz w:val="18"/>
      </w:rPr>
    </w:sdtEndPr>
    <w:sdtContent>
      <w:p w:rsidR="00C5673B" w:rsidRPr="00C5673B" w:rsidRDefault="00C5673B">
        <w:pPr>
          <w:pStyle w:val="Header"/>
          <w:jc w:val="right"/>
          <w:rPr>
            <w:rFonts w:ascii="Times New Roman" w:hAnsi="Times New Roman" w:cs="Times New Roman"/>
            <w:sz w:val="18"/>
          </w:rPr>
        </w:pPr>
        <w:r w:rsidRPr="00C5673B">
          <w:rPr>
            <w:rFonts w:ascii="Times New Roman" w:hAnsi="Times New Roman" w:cs="Times New Roman"/>
            <w:sz w:val="18"/>
          </w:rPr>
          <w:fldChar w:fldCharType="begin"/>
        </w:r>
        <w:r w:rsidRPr="00C5673B">
          <w:rPr>
            <w:rFonts w:ascii="Times New Roman" w:hAnsi="Times New Roman" w:cs="Times New Roman"/>
            <w:sz w:val="18"/>
          </w:rPr>
          <w:instrText xml:space="preserve"> PAGE   \* MERGEFORMAT </w:instrText>
        </w:r>
        <w:r w:rsidRPr="00C5673B">
          <w:rPr>
            <w:rFonts w:ascii="Times New Roman" w:hAnsi="Times New Roman" w:cs="Times New Roman"/>
            <w:sz w:val="18"/>
          </w:rPr>
          <w:fldChar w:fldCharType="separate"/>
        </w:r>
        <w:r>
          <w:rPr>
            <w:rFonts w:ascii="Times New Roman" w:hAnsi="Times New Roman" w:cs="Times New Roman"/>
            <w:noProof/>
            <w:sz w:val="18"/>
          </w:rPr>
          <w:t>4</w:t>
        </w:r>
        <w:r w:rsidRPr="00C5673B">
          <w:rPr>
            <w:rFonts w:ascii="Times New Roman" w:hAnsi="Times New Roman" w:cs="Times New Roman"/>
            <w:noProof/>
            <w:sz w:val="18"/>
          </w:rPr>
          <w:fldChar w:fldCharType="end"/>
        </w:r>
      </w:p>
    </w:sdtContent>
  </w:sdt>
  <w:p w:rsidR="00C5673B" w:rsidRDefault="00C56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DFC"/>
    <w:multiLevelType w:val="hybridMultilevel"/>
    <w:tmpl w:val="7100AF6C"/>
    <w:lvl w:ilvl="0" w:tplc="256E31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FC"/>
    <w:rsid w:val="00075087"/>
    <w:rsid w:val="000C4747"/>
    <w:rsid w:val="000E5B6B"/>
    <w:rsid w:val="004220A1"/>
    <w:rsid w:val="0060051B"/>
    <w:rsid w:val="00653137"/>
    <w:rsid w:val="006807A3"/>
    <w:rsid w:val="00682F65"/>
    <w:rsid w:val="006A48F5"/>
    <w:rsid w:val="00842752"/>
    <w:rsid w:val="008B69A1"/>
    <w:rsid w:val="009304BB"/>
    <w:rsid w:val="009E4356"/>
    <w:rsid w:val="00A93EC2"/>
    <w:rsid w:val="00BF11E4"/>
    <w:rsid w:val="00C31DB7"/>
    <w:rsid w:val="00C429FC"/>
    <w:rsid w:val="00C5673B"/>
    <w:rsid w:val="00C92ED3"/>
    <w:rsid w:val="00D06361"/>
    <w:rsid w:val="00DD523F"/>
    <w:rsid w:val="00E9328B"/>
    <w:rsid w:val="00FD38C9"/>
    <w:rsid w:val="00FF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883AF-3C51-4212-9FB5-E0099C6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FF3799"/>
    <w:pPr>
      <w:widowControl w:val="0"/>
      <w:autoSpaceDE w:val="0"/>
      <w:autoSpaceDN w:val="0"/>
      <w:adjustRightInd w:val="0"/>
      <w:spacing w:line="240" w:lineRule="auto"/>
      <w:ind w:left="720"/>
      <w:contextualSpacing/>
    </w:pPr>
    <w:rPr>
      <w:rFonts w:eastAsia="Times New Roman"/>
      <w:color w:val="auto"/>
      <w:sz w:val="24"/>
      <w:szCs w:val="24"/>
    </w:rPr>
  </w:style>
  <w:style w:type="paragraph" w:styleId="Header">
    <w:name w:val="header"/>
    <w:basedOn w:val="Normal"/>
    <w:link w:val="HeaderChar"/>
    <w:uiPriority w:val="99"/>
    <w:unhideWhenUsed/>
    <w:rsid w:val="00C5673B"/>
    <w:pPr>
      <w:tabs>
        <w:tab w:val="center" w:pos="4680"/>
        <w:tab w:val="right" w:pos="9360"/>
      </w:tabs>
      <w:spacing w:line="240" w:lineRule="auto"/>
    </w:pPr>
  </w:style>
  <w:style w:type="character" w:customStyle="1" w:styleId="HeaderChar">
    <w:name w:val="Header Char"/>
    <w:basedOn w:val="DefaultParagraphFont"/>
    <w:link w:val="Header"/>
    <w:uiPriority w:val="99"/>
    <w:rsid w:val="00C5673B"/>
  </w:style>
  <w:style w:type="paragraph" w:styleId="Footer">
    <w:name w:val="footer"/>
    <w:basedOn w:val="Normal"/>
    <w:link w:val="FooterChar"/>
    <w:uiPriority w:val="99"/>
    <w:unhideWhenUsed/>
    <w:rsid w:val="00C5673B"/>
    <w:pPr>
      <w:tabs>
        <w:tab w:val="center" w:pos="4680"/>
        <w:tab w:val="right" w:pos="9360"/>
      </w:tabs>
      <w:spacing w:line="240" w:lineRule="auto"/>
    </w:pPr>
  </w:style>
  <w:style w:type="character" w:customStyle="1" w:styleId="FooterChar">
    <w:name w:val="Footer Char"/>
    <w:basedOn w:val="DefaultParagraphFont"/>
    <w:link w:val="Footer"/>
    <w:uiPriority w:val="99"/>
    <w:rsid w:val="00C5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Hanes</dc:creator>
  <cp:lastModifiedBy>Chase T Hanes</cp:lastModifiedBy>
  <cp:revision>2</cp:revision>
  <dcterms:created xsi:type="dcterms:W3CDTF">2015-09-10T19:42:00Z</dcterms:created>
  <dcterms:modified xsi:type="dcterms:W3CDTF">2015-09-10T19:42:00Z</dcterms:modified>
</cp:coreProperties>
</file>